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szCs w:val="32"/>
        </w:rPr>
      </w:pPr>
      <w:r>
        <w:rPr>
          <w:rFonts w:ascii="Times New Roman" w:hAnsi="Times New Roman" w:eastAsia="黑体"/>
          <w:szCs w:val="32"/>
        </w:rPr>
        <mc:AlternateContent>
          <mc:Choice Requires="wps">
            <w:drawing>
              <wp:anchor distT="0" distB="0" distL="114300" distR="114300" simplePos="0" relativeHeight="1024" behindDoc="0" locked="1" layoutInCell="1" allowOverlap="1">
                <wp:simplePos x="0" y="0"/>
                <wp:positionH relativeFrom="column">
                  <wp:align>center</wp:align>
                </wp:positionH>
                <wp:positionV relativeFrom="page">
                  <wp:posOffset>-360045</wp:posOffset>
                </wp:positionV>
                <wp:extent cx="467995" cy="330200"/>
                <wp:effectExtent l="0" t="0" r="8255" b="12700"/>
                <wp:wrapNone/>
                <wp:docPr id="1" name="WJBT2"/>
                <wp:cNvGraphicFramePr/>
                <a:graphic xmlns:a="http://schemas.openxmlformats.org/drawingml/2006/main">
                  <a:graphicData uri="http://schemas.microsoft.com/office/word/2010/wordprocessingShape">
                    <wps:wsp>
                      <wps:cNvSpPr txBox="1"/>
                      <wps:spPr>
                        <a:xfrm>
                          <a:off x="0" y="0"/>
                          <a:ext cx="467995" cy="330200"/>
                        </a:xfrm>
                        <a:prstGeom prst="rect">
                          <a:avLst/>
                        </a:prstGeom>
                        <a:solidFill>
                          <a:srgbClr val="FFFFFF"/>
                        </a:solidFill>
                        <a:ln>
                          <a:noFill/>
                        </a:ln>
                      </wps:spPr>
                      <wps:txbx>
                        <w:txbxContent>
                          <w:p>
                            <w:pPr>
                              <w:spacing w:line="480" w:lineRule="exact"/>
                              <w:jc w:val="distribute"/>
                              <w:rPr>
                                <w:sz w:val="48"/>
                                <w:szCs w:val="48"/>
                              </w:rPr>
                            </w:pPr>
                            <w:r>
                              <w:rPr>
                                <w:rFonts w:hint="eastAsia"/>
                                <w:color w:val="FF0000"/>
                                <w:sz w:val="48"/>
                                <w:szCs w:val="48"/>
                              </w:rPr>
                              <w:t>★</w:t>
                            </w:r>
                          </w:p>
                        </w:txbxContent>
                      </wps:txbx>
                      <wps:bodyPr lIns="0" tIns="0" rIns="0" bIns="0" upright="1"/>
                    </wps:wsp>
                  </a:graphicData>
                </a:graphic>
              </wp:anchor>
            </w:drawing>
          </mc:Choice>
          <mc:Fallback>
            <w:pict>
              <v:shape id="WJBT2" o:spid="_x0000_s1026" o:spt="202" type="#_x0000_t202" style="position:absolute;left:0pt;margin-top:-28.35pt;height:26pt;width:36.85pt;mso-position-horizontal:center;mso-position-vertical-relative:page;z-index:1024;mso-width-relative:page;mso-height-relative:page;" fillcolor="#FFFFFF" filled="t" stroked="f" coordsize="21600,21600" o:gfxdata="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JIXLvfWAAAABgEAAA8AAAAAAAAA&#10;AQAgAAAAIgAAAGRycy9kb3ducmV2LnhtbFBLAQIUABQAAAAIAIdO4kB3Nk1CoQEAAEYDAAAOAAAA&#10;AAAAAAEAIAAAACUBAABkcnMvZTJvRG9jLnhtbFBLBQYAAAAABgAGAFkBAAA4BQAAAAA=&#10;">
                <v:fill on="t" focussize="0,0"/>
                <v:stroke on="f"/>
                <v:imagedata o:title=""/>
                <o:lock v:ext="edit" aspectratio="f"/>
                <v:textbox inset="0mm,0mm,0mm,0mm">
                  <w:txbxContent>
                    <w:p>
                      <w:pPr>
                        <w:spacing w:line="480" w:lineRule="exact"/>
                        <w:jc w:val="distribute"/>
                        <w:rPr>
                          <w:sz w:val="48"/>
                          <w:szCs w:val="48"/>
                        </w:rPr>
                      </w:pPr>
                      <w:r>
                        <w:rPr>
                          <w:rFonts w:hint="eastAsia"/>
                          <w:color w:val="FF0000"/>
                          <w:sz w:val="48"/>
                          <w:szCs w:val="48"/>
                        </w:rPr>
                        <w:t>★</w:t>
                      </w:r>
                    </w:p>
                  </w:txbxContent>
                </v:textbox>
                <w10:anchorlock/>
              </v:shape>
            </w:pict>
          </mc:Fallback>
        </mc:AlternateContent>
      </w:r>
    </w:p>
    <w:p>
      <w:pPr>
        <w:rPr>
          <w:rFonts w:ascii="Times New Roman" w:hAnsi="Times New Roman" w:eastAsia="黑体"/>
          <w:szCs w:val="32"/>
        </w:rPr>
      </w:pPr>
    </w:p>
    <w:p>
      <w:pPr>
        <w:rPr>
          <w:rFonts w:ascii="Times New Roman" w:hAnsi="Times New Roman" w:eastAsia="黑体"/>
          <w:szCs w:val="32"/>
        </w:rPr>
      </w:pPr>
      <w:r>
        <w:rPr>
          <w:rFonts w:ascii="Times New Roman" w:hAnsi="Times New Roman"/>
          <w:szCs w:val="32"/>
        </w:rPr>
        <mc:AlternateContent>
          <mc:Choice Requires="wps">
            <w:drawing>
              <wp:anchor distT="0" distB="0" distL="114300" distR="114300" simplePos="0" relativeHeight="503315456" behindDoc="1" locked="0" layoutInCell="1" allowOverlap="1">
                <wp:simplePos x="0" y="0"/>
                <wp:positionH relativeFrom="column">
                  <wp:posOffset>84455</wp:posOffset>
                </wp:positionH>
                <wp:positionV relativeFrom="page">
                  <wp:posOffset>1906270</wp:posOffset>
                </wp:positionV>
                <wp:extent cx="5255895" cy="997585"/>
                <wp:effectExtent l="0" t="0" r="0" b="0"/>
                <wp:wrapNone/>
                <wp:docPr id="5" name="WJBT"/>
                <wp:cNvGraphicFramePr/>
                <a:graphic xmlns:a="http://schemas.openxmlformats.org/drawingml/2006/main">
                  <a:graphicData uri="http://schemas.microsoft.com/office/word/2010/wordprocessingShape">
                    <wps:wsp>
                      <wps:cNvSpPr txBox="1"/>
                      <wps:spPr>
                        <a:xfrm>
                          <a:off x="0" y="0"/>
                          <a:ext cx="5255895" cy="997585"/>
                        </a:xfrm>
                        <a:prstGeom prst="rect">
                          <a:avLst/>
                        </a:prstGeom>
                        <a:noFill/>
                        <a:ln>
                          <a:noFill/>
                        </a:ln>
                      </wps:spPr>
                      <wps:txbx>
                        <w:txbxContent>
                          <w:p>
                            <w:pPr>
                              <w:keepNext w:val="0"/>
                              <w:keepLines w:val="0"/>
                              <w:pageBreakBefore w:val="0"/>
                              <w:widowControl w:val="0"/>
                              <w:kinsoku/>
                              <w:wordWrap/>
                              <w:overflowPunct/>
                              <w:topLinePunct w:val="0"/>
                              <w:autoSpaceDE/>
                              <w:autoSpaceDN/>
                              <w:bidi w:val="0"/>
                              <w:adjustRightInd/>
                              <w:snapToGrid/>
                              <w:spacing w:line="1380" w:lineRule="exact"/>
                              <w:jc w:val="distribute"/>
                              <w:textAlignment w:val="auto"/>
                              <w:rPr>
                                <w:rFonts w:hint="eastAsia" w:ascii="方正大标宋简体" w:hAnsi="方正大标宋简体" w:eastAsia="方正大标宋简体" w:cs="方正大标宋简体"/>
                                <w:color w:val="FF0000"/>
                                <w:spacing w:val="-20"/>
                                <w:w w:val="49"/>
                                <w:sz w:val="130"/>
                                <w:szCs w:val="114"/>
                              </w:rPr>
                            </w:pPr>
                            <w:r>
                              <w:rPr>
                                <w:rFonts w:hint="eastAsia" w:ascii="方正大标宋简体" w:hAnsi="方正大标宋简体" w:eastAsia="方正大标宋简体" w:cs="方正大标宋简体"/>
                                <w:color w:val="FF0000"/>
                                <w:spacing w:val="-20"/>
                                <w:w w:val="49"/>
                                <w:sz w:val="130"/>
                                <w:szCs w:val="114"/>
                              </w:rPr>
                              <w:t>永吉县</w:t>
                            </w:r>
                            <w:r>
                              <w:rPr>
                                <w:rFonts w:hint="eastAsia" w:ascii="方正大标宋简体" w:hAnsi="方正大标宋简体" w:eastAsia="方正大标宋简体" w:cs="方正大标宋简体"/>
                                <w:color w:val="FF0000"/>
                                <w:spacing w:val="-20"/>
                                <w:w w:val="49"/>
                                <w:sz w:val="130"/>
                                <w:szCs w:val="114"/>
                                <w:lang w:eastAsia="zh-CN"/>
                              </w:rPr>
                              <w:t>扶贫开发办公室</w:t>
                            </w:r>
                            <w:r>
                              <w:rPr>
                                <w:rFonts w:hint="eastAsia" w:ascii="方正大标宋简体" w:hAnsi="方正大标宋简体" w:eastAsia="方正大标宋简体" w:cs="方正大标宋简体"/>
                                <w:color w:val="FF0000"/>
                                <w:spacing w:val="-20"/>
                                <w:w w:val="49"/>
                                <w:sz w:val="130"/>
                                <w:szCs w:val="114"/>
                              </w:rPr>
                              <w:t>文件</w:t>
                            </w:r>
                          </w:p>
                        </w:txbxContent>
                      </wps:txbx>
                      <wps:bodyPr lIns="36000" tIns="0" rIns="36000" bIns="0" upright="1"/>
                    </wps:wsp>
                  </a:graphicData>
                </a:graphic>
              </wp:anchor>
            </w:drawing>
          </mc:Choice>
          <mc:Fallback>
            <w:pict>
              <v:shape id="WJBT" o:spid="_x0000_s1026" o:spt="202" type="#_x0000_t202" style="position:absolute;left:0pt;margin-left:6.65pt;margin-top:150.1pt;height:78.55pt;width:413.85pt;mso-position-vertical-relative:page;z-index:-1024;mso-width-relative:page;mso-height-relative:page;" filled="f" stroked="f" coordsize="21600,21600" o:gfxdata="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&#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M3MzM/ZAAAACgEAAA8AAAAAAAAAAQAgAAAAIgAAAGRy&#10;cy9kb3ducmV2LnhtbFBLAQIUABQAAAAIAIdO4kB76NYPkgEAACUDAAAOAAAAAAAAAAEAIAAAACgB&#10;AABkcnMvZTJvRG9jLnhtbFBLBQYAAAAABgAGAFkBAAAsBQAAAAA=&#10;">
                <v:fill on="f" focussize="0,0"/>
                <v:stroke on="f"/>
                <v:imagedata o:title=""/>
                <o:lock v:ext="edit" aspectratio="f"/>
                <v:textbox inset="1mm,0mm,1mm,0mm">
                  <w:txbxContent>
                    <w:p>
                      <w:pPr>
                        <w:keepNext w:val="0"/>
                        <w:keepLines w:val="0"/>
                        <w:pageBreakBefore w:val="0"/>
                        <w:widowControl w:val="0"/>
                        <w:kinsoku/>
                        <w:wordWrap/>
                        <w:overflowPunct/>
                        <w:topLinePunct w:val="0"/>
                        <w:autoSpaceDE/>
                        <w:autoSpaceDN/>
                        <w:bidi w:val="0"/>
                        <w:adjustRightInd/>
                        <w:snapToGrid/>
                        <w:spacing w:line="1380" w:lineRule="exact"/>
                        <w:jc w:val="distribute"/>
                        <w:textAlignment w:val="auto"/>
                        <w:rPr>
                          <w:rFonts w:hint="eastAsia" w:ascii="方正大标宋简体" w:hAnsi="方正大标宋简体" w:eastAsia="方正大标宋简体" w:cs="方正大标宋简体"/>
                          <w:color w:val="FF0000"/>
                          <w:spacing w:val="-20"/>
                          <w:w w:val="49"/>
                          <w:sz w:val="130"/>
                          <w:szCs w:val="114"/>
                        </w:rPr>
                      </w:pPr>
                      <w:r>
                        <w:rPr>
                          <w:rFonts w:hint="eastAsia" w:ascii="方正大标宋简体" w:hAnsi="方正大标宋简体" w:eastAsia="方正大标宋简体" w:cs="方正大标宋简体"/>
                          <w:color w:val="FF0000"/>
                          <w:spacing w:val="-20"/>
                          <w:w w:val="49"/>
                          <w:sz w:val="130"/>
                          <w:szCs w:val="114"/>
                        </w:rPr>
                        <w:t>永吉县</w:t>
                      </w:r>
                      <w:r>
                        <w:rPr>
                          <w:rFonts w:hint="eastAsia" w:ascii="方正大标宋简体" w:hAnsi="方正大标宋简体" w:eastAsia="方正大标宋简体" w:cs="方正大标宋简体"/>
                          <w:color w:val="FF0000"/>
                          <w:spacing w:val="-20"/>
                          <w:w w:val="49"/>
                          <w:sz w:val="130"/>
                          <w:szCs w:val="114"/>
                          <w:lang w:eastAsia="zh-CN"/>
                        </w:rPr>
                        <w:t>扶贫开发办公室</w:t>
                      </w:r>
                      <w:r>
                        <w:rPr>
                          <w:rFonts w:hint="eastAsia" w:ascii="方正大标宋简体" w:hAnsi="方正大标宋简体" w:eastAsia="方正大标宋简体" w:cs="方正大标宋简体"/>
                          <w:color w:val="FF0000"/>
                          <w:spacing w:val="-20"/>
                          <w:w w:val="49"/>
                          <w:sz w:val="130"/>
                          <w:szCs w:val="114"/>
                        </w:rPr>
                        <w:t>文件</w:t>
                      </w:r>
                    </w:p>
                  </w:txbxContent>
                </v:textbox>
              </v:shape>
            </w:pict>
          </mc:Fallback>
        </mc:AlternateContent>
      </w:r>
    </w:p>
    <w:p>
      <w:pPr>
        <w:spacing w:line="840" w:lineRule="exact"/>
        <w:rPr>
          <w:rFonts w:ascii="Times New Roman" w:hAnsi="Times New Roman"/>
          <w:szCs w:val="32"/>
        </w:rPr>
      </w:pPr>
    </w:p>
    <w:p>
      <w:pPr>
        <w:tabs>
          <w:tab w:val="left" w:pos="2212"/>
        </w:tabs>
        <w:rPr>
          <w:rFonts w:ascii="Times New Roman" w:hAnsi="Times New Roman"/>
          <w:szCs w:val="32"/>
        </w:rPr>
      </w:pPr>
    </w:p>
    <w:p>
      <w:pPr>
        <w:jc w:val="center"/>
        <w:rPr>
          <w:rFonts w:ascii="Times New Roman" w:hAnsi="Times New Roman"/>
          <w:szCs w:val="32"/>
        </w:rPr>
      </w:pPr>
      <w:r>
        <w:rPr>
          <w:rFonts w:hint="eastAsia" w:ascii="Times New Roman" w:hAnsi="Times New Roman"/>
          <w:szCs w:val="32"/>
        </w:rPr>
        <w:t>永</w:t>
      </w:r>
      <w:r>
        <w:rPr>
          <w:rFonts w:hint="eastAsia" w:ascii="Times New Roman" w:hAnsi="Times New Roman"/>
          <w:szCs w:val="32"/>
          <w:lang w:eastAsia="zh-CN"/>
        </w:rPr>
        <w:t>扶办</w:t>
      </w:r>
      <w:r>
        <w:rPr>
          <w:rFonts w:hint="eastAsia" w:ascii="Times New Roman" w:hAnsi="Times New Roman"/>
          <w:szCs w:val="32"/>
        </w:rPr>
        <w:t>发〔</w:t>
      </w:r>
      <w:r>
        <w:rPr>
          <w:rFonts w:ascii="Times New Roman" w:hAnsi="Times New Roman"/>
          <w:szCs w:val="32"/>
        </w:rPr>
        <w:t>20</w:t>
      </w:r>
      <w:r>
        <w:rPr>
          <w:rFonts w:hint="eastAsia" w:ascii="Times New Roman" w:hAnsi="Times New Roman"/>
          <w:szCs w:val="32"/>
          <w:lang w:val="en-US" w:eastAsia="zh-CN"/>
        </w:rPr>
        <w:t>20</w:t>
      </w:r>
      <w:r>
        <w:rPr>
          <w:rFonts w:ascii="Times New Roman" w:hAnsi="Times New Roman"/>
          <w:szCs w:val="32"/>
        </w:rPr>
        <w:t>〕</w:t>
      </w:r>
      <w:r>
        <w:rPr>
          <w:rFonts w:hint="eastAsia" w:ascii="Times New Roman" w:hAnsi="Times New Roman"/>
          <w:szCs w:val="32"/>
          <w:lang w:val="en-US" w:eastAsia="zh-CN"/>
        </w:rPr>
        <w:t xml:space="preserve">14 </w:t>
      </w:r>
      <w:r>
        <w:rPr>
          <w:rFonts w:ascii="Times New Roman" w:hAnsi="Times New Roman"/>
          <w:szCs w:val="32"/>
        </w:rPr>
        <w:t>号</w:t>
      </w:r>
    </w:p>
    <w:p>
      <w:pPr>
        <w:rPr>
          <w:rFonts w:ascii="Times New Roman" w:hAnsi="Times New Roman"/>
          <w:szCs w:val="32"/>
        </w:rPr>
      </w:pPr>
      <w:bookmarkStart w:id="1" w:name="_GoBack"/>
      <w:bookmarkEnd w:id="1"/>
      <w:r>
        <w:rPr>
          <w:rFonts w:ascii="Times New Roman" w:hAnsi="Times New Roman"/>
          <w:szCs w:val="32"/>
        </w:rPr>
        <mc:AlternateContent>
          <mc:Choice Requires="wps">
            <w:drawing>
              <wp:anchor distT="0" distB="0" distL="114300" distR="114300" simplePos="0" relativeHeight="1024" behindDoc="0" locked="1" layoutInCell="1" allowOverlap="1">
                <wp:simplePos x="0" y="0"/>
                <wp:positionH relativeFrom="column">
                  <wp:posOffset>-635</wp:posOffset>
                </wp:positionH>
                <wp:positionV relativeFrom="page">
                  <wp:posOffset>1224280</wp:posOffset>
                </wp:positionV>
                <wp:extent cx="800100" cy="288290"/>
                <wp:effectExtent l="0" t="0" r="0" b="0"/>
                <wp:wrapNone/>
                <wp:docPr id="2" name="GWXH"/>
                <wp:cNvGraphicFramePr/>
                <a:graphic xmlns:a="http://schemas.openxmlformats.org/drawingml/2006/main">
                  <a:graphicData uri="http://schemas.microsoft.com/office/word/2010/wordprocessingShape">
                    <wps:wsp>
                      <wps:cNvSpPr txBox="1"/>
                      <wps:spPr>
                        <a:xfrm>
                          <a:off x="0" y="0"/>
                          <a:ext cx="800100" cy="288290"/>
                        </a:xfrm>
                        <a:prstGeom prst="rect">
                          <a:avLst/>
                        </a:prstGeom>
                        <a:noFill/>
                        <a:ln>
                          <a:noFill/>
                        </a:ln>
                      </wps:spPr>
                      <wps:txbx>
                        <w:txbxContent>
                          <w:p>
                            <w:pPr>
                              <w:rPr>
                                <w:rFonts w:ascii="黑体" w:hAnsi="黑体" w:eastAsia="黑体"/>
                                <w:szCs w:val="32"/>
                              </w:rPr>
                            </w:pPr>
                          </w:p>
                        </w:txbxContent>
                      </wps:txbx>
                      <wps:bodyPr lIns="0" tIns="0" rIns="0" bIns="0" upright="1"/>
                    </wps:wsp>
                  </a:graphicData>
                </a:graphic>
              </wp:anchor>
            </w:drawing>
          </mc:Choice>
          <mc:Fallback>
            <w:pict>
              <v:shape id="GWXH" o:spid="_x0000_s1026" o:spt="202" type="#_x0000_t202" style="position:absolute;left:0pt;margin-left:-0.05pt;margin-top:96.4pt;height:22.7pt;width:63pt;mso-position-vertical-relative:page;z-index:1024;mso-width-relative:page;mso-height-relative:page;" filled="f" stroked="f" coordsize="21600,21600" o:gfxdata="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al+oYdgAAAAJAQAADwAAAAAAAAABACAAAAAiAAAAZHJzL2Rvd25y&#10;ZXYueG1sUEsBAhQAFAAAAAgAh07iQDPIeVWMAQAAHAMAAA4AAAAAAAAAAQAgAAAAJwEAAGRycy9l&#10;Mm9Eb2MueG1sUEsFBgAAAAAGAAYAWQEAACUFAAAAAA==&#10;">
                <v:fill on="f" focussize="0,0"/>
                <v:stroke on="f"/>
                <v:imagedata o:title=""/>
                <o:lock v:ext="edit" aspectratio="f"/>
                <v:textbox inset="0mm,0mm,0mm,0mm">
                  <w:txbxContent>
                    <w:p>
                      <w:pPr>
                        <w:rPr>
                          <w:rFonts w:ascii="黑体" w:hAnsi="黑体" w:eastAsia="黑体"/>
                          <w:szCs w:val="32"/>
                        </w:rPr>
                      </w:pPr>
                    </w:p>
                  </w:txbxContent>
                </v:textbox>
                <w10:anchorlock/>
              </v:shape>
            </w:pict>
          </mc:Fallback>
        </mc:AlternateContent>
      </w:r>
      <w:r>
        <w:rPr>
          <w:rFonts w:ascii="Times New Roman" w:hAnsi="Times New Roman"/>
          <w:szCs w:val="32"/>
        </w:rPr>
        <mc:AlternateContent>
          <mc:Choice Requires="wps">
            <w:drawing>
              <wp:anchor distT="0" distB="0" distL="114300" distR="114300" simplePos="0" relativeHeight="1024" behindDoc="0" locked="1" layoutInCell="1" allowOverlap="1">
                <wp:simplePos x="0" y="0"/>
                <wp:positionH relativeFrom="column">
                  <wp:posOffset>-635</wp:posOffset>
                </wp:positionH>
                <wp:positionV relativeFrom="page">
                  <wp:posOffset>3736975</wp:posOffset>
                </wp:positionV>
                <wp:extent cx="5592445" cy="11430"/>
                <wp:effectExtent l="0" t="0" r="0" b="0"/>
                <wp:wrapNone/>
                <wp:docPr id="3" name="BTBX"/>
                <wp:cNvGraphicFramePr/>
                <a:graphic xmlns:a="http://schemas.openxmlformats.org/drawingml/2006/main">
                  <a:graphicData uri="http://schemas.microsoft.com/office/word/2010/wordprocessingShape">
                    <wps:wsp>
                      <wps:cNvSpPr/>
                      <wps:spPr>
                        <a:xfrm flipV="1">
                          <a:off x="0" y="0"/>
                          <a:ext cx="5592445" cy="11430"/>
                        </a:xfrm>
                        <a:prstGeom prst="line">
                          <a:avLst/>
                        </a:prstGeom>
                        <a:ln w="15875" cap="flat" cmpd="sng">
                          <a:solidFill>
                            <a:srgbClr val="FF0000"/>
                          </a:solidFill>
                          <a:prstDash val="solid"/>
                          <a:headEnd type="none" w="med" len="med"/>
                          <a:tailEnd type="none" w="med" len="med"/>
                        </a:ln>
                      </wps:spPr>
                      <wps:bodyPr upright="1"/>
                    </wps:wsp>
                  </a:graphicData>
                </a:graphic>
              </wp:anchor>
            </w:drawing>
          </mc:Choice>
          <mc:Fallback>
            <w:pict>
              <v:line id="BTBX" o:spid="_x0000_s1026" o:spt="20" style="position:absolute;left:0pt;flip:y;margin-left:-0.05pt;margin-top:294.25pt;height:0.9pt;width:440.35pt;mso-position-vertical-relative:page;z-index:1024;mso-width-relative:page;mso-height-relative:page;" filled="f" stroked="t" coordsize="21600,21600" o:gfxdata="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8EXkotgAAAAJAQAADwAAAAAAAAABACAAAAAi&#10;AAAAZHJzL2Rvd25yZXYueG1sUEsBAhQAFAAAAAgAh07iQG7yE+PRAQAAmAMAAA4AAAAAAAAAAQAg&#10;AAAAJwEAAGRycy9lMm9Eb2MueG1sUEsFBgAAAAAGAAYAWQEAAGoFAAAAAA==&#10;">
                <v:fill on="f" focussize="0,0"/>
                <v:stroke weight="1.25pt" color="#FF0000" joinstyle="round"/>
                <v:imagedata o:title=""/>
                <o:lock v:ext="edit" aspectratio="f"/>
                <w10:anchorlock/>
              </v:line>
            </w:pict>
          </mc:Fallback>
        </mc:AlternateContent>
      </w:r>
    </w:p>
    <w:p>
      <w:pPr>
        <w:spacing w:line="560" w:lineRule="exact"/>
        <w:rPr>
          <w:rFonts w:ascii="Times New Roman" w:hAnsi="Times New Roman"/>
          <w:szCs w:val="32"/>
        </w:rPr>
      </w:pPr>
    </w:p>
    <w:p>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大标宋简体" w:hAnsi="方正大标宋简体" w:eastAsia="方正大标宋简体" w:cs="方正大标宋简体"/>
          <w:b w:val="0"/>
          <w:sz w:val="44"/>
          <w:szCs w:val="44"/>
        </w:rPr>
      </w:pPr>
      <w:r>
        <w:rPr>
          <w:rFonts w:hint="eastAsia" w:ascii="方正大标宋简体" w:hAnsi="方正大标宋简体" w:eastAsia="方正大标宋简体" w:cs="方正大标宋简体"/>
          <w:b w:val="0"/>
          <w:sz w:val="44"/>
          <w:szCs w:val="44"/>
        </w:rPr>
        <w:t>关于开展三级党政主要领导遍访贫困对象常态化阶段工作方案的通知</w:t>
      </w:r>
    </w:p>
    <w:p/>
    <w:p>
      <w:pPr>
        <w:rPr>
          <w:rFonts w:ascii="仿宋" w:hAnsi="仿宋" w:eastAsia="仿宋" w:cs="仿宋"/>
          <w:sz w:val="32"/>
          <w:szCs w:val="32"/>
        </w:rPr>
      </w:pPr>
      <w:r>
        <w:rPr>
          <w:rFonts w:hint="eastAsia" w:ascii="仿宋" w:hAnsi="仿宋" w:eastAsia="仿宋" w:cs="仿宋"/>
          <w:sz w:val="32"/>
          <w:szCs w:val="32"/>
        </w:rPr>
        <w:t>各乡镇党委和人民政府、开发区党工委和管委会、县委办、政府办：</w:t>
      </w:r>
    </w:p>
    <w:p>
      <w:pPr>
        <w:rPr>
          <w:rFonts w:ascii="仿宋" w:hAnsi="仿宋" w:eastAsia="仿宋" w:cs="仿宋"/>
          <w:sz w:val="32"/>
          <w:szCs w:val="32"/>
        </w:rPr>
      </w:pPr>
      <w:r>
        <w:rPr>
          <w:rFonts w:hint="eastAsia" w:ascii="仿宋" w:hAnsi="仿宋" w:eastAsia="仿宋" w:cs="仿宋"/>
          <w:sz w:val="32"/>
          <w:szCs w:val="32"/>
        </w:rPr>
        <w:t xml:space="preserve">    自2018年6月三级党政主要领导遍访贫困对象工作开展以来，各级党委政府高度重视、认真落实，圆满地完成了集中实施阶段（2018年6月-2019年12月末）的遍访工作任务。为进一步巩固遍访工作成果、助力打赢脱贫攻坚战，根据吉林省脱贫攻坚领导小组文件要求(吉脱贫组﹝2019﹞7号），现将三级党政主要领导遍访贫困对象常态化阶段工作安排如下：</w:t>
      </w:r>
    </w:p>
    <w:p>
      <w:pPr>
        <w:ind w:left="560"/>
        <w:rPr>
          <w:rFonts w:ascii="黑体" w:hAnsi="黑体" w:eastAsia="黑体" w:cs="仿宋"/>
          <w:sz w:val="32"/>
          <w:szCs w:val="32"/>
        </w:rPr>
      </w:pPr>
      <w:r>
        <w:rPr>
          <w:rFonts w:hint="eastAsia" w:ascii="黑体" w:hAnsi="黑体" w:eastAsia="黑体" w:cs="仿宋"/>
          <w:sz w:val="32"/>
          <w:szCs w:val="32"/>
        </w:rPr>
        <w:t>一、遍访时间：</w:t>
      </w:r>
    </w:p>
    <w:p>
      <w:pPr>
        <w:ind w:firstLine="640" w:firstLineChars="200"/>
        <w:rPr>
          <w:rFonts w:ascii="仿宋" w:hAnsi="仿宋" w:eastAsia="仿宋" w:cs="仿宋"/>
          <w:sz w:val="32"/>
          <w:szCs w:val="32"/>
        </w:rPr>
      </w:pPr>
      <w:r>
        <w:rPr>
          <w:rFonts w:hint="eastAsia" w:ascii="仿宋" w:hAnsi="仿宋" w:eastAsia="仿宋" w:cs="仿宋"/>
          <w:sz w:val="32"/>
          <w:szCs w:val="32"/>
        </w:rPr>
        <w:t>常态化开展阶段：2020年1月1日至2020年12月31日。</w:t>
      </w:r>
    </w:p>
    <w:p>
      <w:pPr>
        <w:ind w:left="560"/>
        <w:rPr>
          <w:rFonts w:ascii="黑体" w:hAnsi="黑体" w:eastAsia="黑体" w:cs="仿宋"/>
          <w:sz w:val="32"/>
          <w:szCs w:val="32"/>
        </w:rPr>
      </w:pPr>
      <w:r>
        <w:rPr>
          <w:rFonts w:hint="eastAsia" w:ascii="黑体" w:hAnsi="黑体" w:eastAsia="黑体" w:cs="仿宋"/>
          <w:sz w:val="32"/>
          <w:szCs w:val="32"/>
        </w:rPr>
        <w:t>二、遍访对象：</w:t>
      </w:r>
    </w:p>
    <w:p>
      <w:pPr>
        <w:ind w:firstLine="640" w:firstLineChars="200"/>
        <w:rPr>
          <w:rFonts w:ascii="仿宋" w:hAnsi="仿宋" w:eastAsia="仿宋" w:cs="仿宋"/>
          <w:sz w:val="32"/>
          <w:szCs w:val="32"/>
        </w:rPr>
      </w:pPr>
      <w:r>
        <w:rPr>
          <w:rFonts w:hint="eastAsia" w:ascii="仿宋" w:hAnsi="仿宋" w:eastAsia="仿宋" w:cs="仿宋"/>
          <w:sz w:val="32"/>
          <w:szCs w:val="32"/>
        </w:rPr>
        <w:t>（一）县级：县委书记、县长分别遍访本县域内22个省级贫困村。</w:t>
      </w:r>
    </w:p>
    <w:p>
      <w:pPr>
        <w:ind w:firstLine="640" w:firstLineChars="200"/>
        <w:rPr>
          <w:rFonts w:ascii="仿宋" w:hAnsi="仿宋" w:eastAsia="仿宋" w:cs="仿宋"/>
          <w:sz w:val="32"/>
          <w:szCs w:val="32"/>
        </w:rPr>
      </w:pPr>
      <w:r>
        <w:rPr>
          <w:rFonts w:hint="eastAsia" w:ascii="仿宋" w:hAnsi="仿宋" w:eastAsia="仿宋" w:cs="仿宋"/>
          <w:sz w:val="32"/>
          <w:szCs w:val="32"/>
        </w:rPr>
        <w:t>（二）乡（镇）级：乡（镇）党委书记、开发区党工委书记、乡（镇）长、开发区管委会主任分别遍访本乡（镇、区）内所有贫困户。</w:t>
      </w:r>
    </w:p>
    <w:p>
      <w:pPr>
        <w:ind w:firstLine="640" w:firstLineChars="200"/>
        <w:rPr>
          <w:rFonts w:ascii="仿宋" w:hAnsi="仿宋" w:eastAsia="仿宋" w:cs="仿宋"/>
          <w:sz w:val="32"/>
          <w:szCs w:val="32"/>
        </w:rPr>
      </w:pPr>
      <w:r>
        <w:rPr>
          <w:rFonts w:hint="eastAsia" w:ascii="仿宋" w:hAnsi="仿宋" w:eastAsia="仿宋" w:cs="仿宋"/>
          <w:sz w:val="32"/>
          <w:szCs w:val="32"/>
        </w:rPr>
        <w:t>（三）村级：村党组书记、村委会主任分别遍访本行政村内所有贫困户。</w:t>
      </w:r>
    </w:p>
    <w:p>
      <w:pPr>
        <w:ind w:left="560"/>
        <w:rPr>
          <w:rFonts w:ascii="黑体" w:hAnsi="黑体" w:eastAsia="黑体" w:cs="仿宋"/>
          <w:sz w:val="32"/>
          <w:szCs w:val="32"/>
        </w:rPr>
      </w:pPr>
      <w:r>
        <w:rPr>
          <w:rFonts w:hint="eastAsia" w:ascii="黑体" w:hAnsi="黑体" w:eastAsia="黑体" w:cs="仿宋"/>
          <w:sz w:val="32"/>
          <w:szCs w:val="32"/>
        </w:rPr>
        <w:t>三、遍访内容：</w:t>
      </w:r>
    </w:p>
    <w:p>
      <w:pPr>
        <w:ind w:firstLine="560"/>
        <w:rPr>
          <w:rFonts w:ascii="仿宋" w:hAnsi="仿宋" w:eastAsia="仿宋" w:cs="仿宋"/>
          <w:sz w:val="32"/>
          <w:szCs w:val="32"/>
        </w:rPr>
      </w:pPr>
      <w:r>
        <w:rPr>
          <w:rFonts w:hint="eastAsia" w:ascii="仿宋" w:hAnsi="仿宋" w:eastAsia="仿宋" w:cs="仿宋"/>
          <w:sz w:val="32"/>
          <w:szCs w:val="32"/>
        </w:rPr>
        <w:t>（一）县委书记、县长</w:t>
      </w:r>
    </w:p>
    <w:p>
      <w:pPr>
        <w:ind w:firstLine="720" w:firstLineChars="225"/>
        <w:rPr>
          <w:rFonts w:ascii="仿宋" w:hAnsi="仿宋" w:eastAsia="仿宋" w:cs="仿宋"/>
          <w:sz w:val="32"/>
          <w:szCs w:val="32"/>
        </w:rPr>
      </w:pPr>
      <w:r>
        <w:rPr>
          <w:rFonts w:hint="eastAsia" w:ascii="仿宋" w:hAnsi="仿宋" w:eastAsia="仿宋" w:cs="仿宋"/>
          <w:sz w:val="32"/>
          <w:szCs w:val="32"/>
        </w:rPr>
        <w:t>2020年12月31日前，分别遍访全县22个省级贫困村。</w:t>
      </w:r>
    </w:p>
    <w:p>
      <w:pPr>
        <w:ind w:firstLine="640" w:firstLineChars="200"/>
        <w:rPr>
          <w:rFonts w:ascii="仿宋" w:hAnsi="仿宋" w:eastAsia="仿宋" w:cs="仿宋"/>
          <w:sz w:val="32"/>
          <w:szCs w:val="32"/>
        </w:rPr>
      </w:pPr>
      <w:r>
        <w:rPr>
          <w:rFonts w:hint="eastAsia" w:ascii="仿宋" w:hAnsi="仿宋" w:eastAsia="仿宋" w:cs="仿宋"/>
          <w:sz w:val="32"/>
          <w:szCs w:val="32"/>
        </w:rPr>
        <w:t>采取多种形式，充分了解脱贫攻坚、乡村振兴规划实施情况、基层党建情况、群众稳定脱贫情况等，充分掌握一线同志们的思想状况。深入细致地做好干部群众工作，着力解决贫困群众反映强烈的热点、难点、焦点问题。</w:t>
      </w:r>
    </w:p>
    <w:p>
      <w:pPr>
        <w:numPr>
          <w:ilvl w:val="0"/>
          <w:numId w:val="1"/>
        </w:numPr>
        <w:ind w:firstLine="560"/>
        <w:rPr>
          <w:rFonts w:ascii="仿宋" w:hAnsi="仿宋" w:eastAsia="仿宋" w:cs="仿宋"/>
          <w:sz w:val="32"/>
          <w:szCs w:val="32"/>
        </w:rPr>
      </w:pPr>
      <w:r>
        <w:rPr>
          <w:rFonts w:hint="eastAsia" w:ascii="仿宋" w:hAnsi="仿宋" w:eastAsia="仿宋" w:cs="仿宋"/>
          <w:sz w:val="32"/>
          <w:szCs w:val="32"/>
        </w:rPr>
        <w:t>乡（镇）党委书记、乡（镇）长和村党组织书记、村委会主任</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 乡（镇）党委书记、开发区党工委书记、乡（镇）长、开发区管委会主任于2020年12月31日前分别遍访本乡镇（区）内所有贫困户；</w:t>
      </w:r>
    </w:p>
    <w:p>
      <w:pPr>
        <w:ind w:firstLine="960" w:firstLineChars="300"/>
        <w:rPr>
          <w:rFonts w:ascii="仿宋" w:hAnsi="仿宋" w:eastAsia="仿宋" w:cs="仿宋"/>
          <w:sz w:val="32"/>
          <w:szCs w:val="32"/>
        </w:rPr>
      </w:pPr>
      <w:r>
        <w:rPr>
          <w:rFonts w:hint="eastAsia" w:ascii="仿宋" w:hAnsi="仿宋" w:eastAsia="仿宋" w:cs="仿宋"/>
          <w:sz w:val="32"/>
          <w:szCs w:val="32"/>
        </w:rPr>
        <w:t>村党组织书记、村委会主任于2020年12月31日前分别遍访本行政村域内所有贫困户。</w:t>
      </w:r>
    </w:p>
    <w:p>
      <w:pPr>
        <w:ind w:firstLine="960" w:firstLineChars="300"/>
        <w:rPr>
          <w:rFonts w:ascii="仿宋" w:hAnsi="仿宋" w:eastAsia="仿宋" w:cs="仿宋"/>
          <w:sz w:val="32"/>
          <w:szCs w:val="32"/>
        </w:rPr>
      </w:pPr>
      <w:r>
        <w:rPr>
          <w:rFonts w:hint="eastAsia" w:ascii="仿宋" w:hAnsi="仿宋" w:eastAsia="仿宋" w:cs="仿宋"/>
          <w:sz w:val="32"/>
          <w:szCs w:val="32"/>
        </w:rPr>
        <w:t>采取直接入户的形式，宣传党中央关于脱贫攻坚重大决策部署和省委、省政府的政策举措，不断提高贫困群众政策的知晓度。帮助贫困群众用好用活扶贫政策，因人施策、因户施策，助推贫困群众早日脱贫致富，切实增强其满意度和获得感。教育引导贫困群众自己动手脱贫致富、建设美丽家园。</w:t>
      </w:r>
    </w:p>
    <w:p>
      <w:pPr>
        <w:ind w:firstLine="640" w:firstLineChars="200"/>
        <w:rPr>
          <w:rFonts w:ascii="黑体" w:hAnsi="黑体" w:eastAsia="黑体" w:cs="仿宋"/>
          <w:sz w:val="32"/>
          <w:szCs w:val="32"/>
        </w:rPr>
      </w:pPr>
      <w:r>
        <w:rPr>
          <w:rFonts w:hint="eastAsia" w:ascii="黑体" w:hAnsi="黑体" w:eastAsia="黑体" w:cs="仿宋"/>
          <w:sz w:val="32"/>
          <w:szCs w:val="32"/>
        </w:rPr>
        <w:t>四、工作要求</w:t>
      </w:r>
    </w:p>
    <w:p>
      <w:pPr>
        <w:ind w:firstLine="640" w:firstLineChars="200"/>
        <w:rPr>
          <w:rFonts w:ascii="仿宋" w:hAnsi="仿宋" w:eastAsia="仿宋" w:cs="仿宋"/>
          <w:sz w:val="32"/>
          <w:szCs w:val="32"/>
        </w:rPr>
      </w:pPr>
      <w:r>
        <w:rPr>
          <w:rFonts w:hint="eastAsia" w:ascii="楷体" w:hAnsi="楷体" w:eastAsia="楷体" w:cs="仿宋"/>
          <w:sz w:val="32"/>
          <w:szCs w:val="32"/>
        </w:rPr>
        <w:t>（一）提高政治站位。</w:t>
      </w:r>
      <w:r>
        <w:rPr>
          <w:rFonts w:hint="eastAsia" w:ascii="仿宋" w:hAnsi="仿宋" w:eastAsia="仿宋" w:cs="仿宋"/>
          <w:sz w:val="32"/>
          <w:szCs w:val="32"/>
        </w:rPr>
        <w:t>各级党政主要领导干部要以习近平新时代中国特色社会主义思想为指导，增强“四个意识”，坚定“四个自信”，做到“两个维护”。准确把握本次常态化遍访工作对于打赢脱贫攻坚战的重大意义。</w:t>
      </w:r>
    </w:p>
    <w:p>
      <w:pPr>
        <w:ind w:firstLine="640" w:firstLineChars="200"/>
        <w:rPr>
          <w:rFonts w:ascii="仿宋" w:hAnsi="仿宋" w:eastAsia="仿宋" w:cs="仿宋"/>
          <w:sz w:val="32"/>
          <w:szCs w:val="32"/>
        </w:rPr>
      </w:pPr>
      <w:r>
        <w:rPr>
          <w:rFonts w:hint="eastAsia" w:ascii="楷体" w:hAnsi="楷体" w:eastAsia="楷体" w:cs="仿宋"/>
          <w:sz w:val="32"/>
          <w:szCs w:val="32"/>
        </w:rPr>
        <w:t>（二）务求行动实效。</w:t>
      </w:r>
      <w:r>
        <w:rPr>
          <w:rFonts w:hint="eastAsia" w:ascii="仿宋" w:hAnsi="仿宋" w:eastAsia="仿宋" w:cs="仿宋"/>
          <w:sz w:val="32"/>
          <w:szCs w:val="32"/>
        </w:rPr>
        <w:t>各乡镇（区）要结合自身实际情况，因地制宜、因人制宜，制定工作方案、细化计划台账，县脱贫攻坚领导小组将对乡镇（区）、村级党政主要领导遍访工作情况纳入年末工作成效考核的重要内容。</w:t>
      </w:r>
    </w:p>
    <w:p>
      <w:pPr>
        <w:ind w:firstLine="640" w:firstLineChars="200"/>
        <w:rPr>
          <w:rFonts w:ascii="仿宋" w:hAnsi="仿宋" w:eastAsia="仿宋" w:cs="仿宋"/>
          <w:sz w:val="32"/>
          <w:szCs w:val="32"/>
        </w:rPr>
      </w:pPr>
      <w:r>
        <w:rPr>
          <w:rFonts w:hint="eastAsia" w:ascii="楷体" w:hAnsi="楷体" w:eastAsia="楷体" w:cs="仿宋"/>
          <w:sz w:val="32"/>
          <w:szCs w:val="32"/>
        </w:rPr>
        <w:t>（三）加强工作调度和积累。</w:t>
      </w:r>
      <w:r>
        <w:rPr>
          <w:rFonts w:hint="eastAsia" w:ascii="仿宋" w:hAnsi="仿宋" w:eastAsia="仿宋" w:cs="仿宋"/>
          <w:sz w:val="32"/>
          <w:szCs w:val="32"/>
        </w:rPr>
        <w:t>建立遍访计划（附件1）台账，制定一份即可，分为四个季度，县级领导着重安排好计划遍访的省级贫困村；乡镇及村级领导要着重计划遍访贫困户数量，确保按期完成遍访任务。</w:t>
      </w:r>
    </w:p>
    <w:p>
      <w:pPr>
        <w:ind w:firstLine="640" w:firstLineChars="200"/>
        <w:rPr>
          <w:rFonts w:ascii="仿宋" w:hAnsi="仿宋" w:eastAsia="仿宋" w:cs="仿宋"/>
          <w:sz w:val="32"/>
          <w:szCs w:val="32"/>
        </w:rPr>
      </w:pPr>
      <w:r>
        <w:rPr>
          <w:rFonts w:hint="eastAsia" w:ascii="仿宋" w:hAnsi="仿宋" w:eastAsia="仿宋" w:cs="仿宋"/>
          <w:sz w:val="32"/>
          <w:szCs w:val="32"/>
        </w:rPr>
        <w:t>完善遍访工作台账（附件2），县级领导需记录遍访的具体贫困村名称、遍访贫困户的也要记录在台账中；乡镇（区）和村级领导需在工作台账中记录遍访的贫困户及遍访时间。 “贫困对象反映的意见建议及解决问题的思路举措”一栏要区别填写“意见建议”、“思路举措”、“遍访成效”等内容。</w:t>
      </w:r>
    </w:p>
    <w:p>
      <w:pPr>
        <w:ind w:firstLine="640" w:firstLineChars="200"/>
        <w:rPr>
          <w:rFonts w:ascii="仿宋" w:hAnsi="仿宋" w:eastAsia="仿宋" w:cs="仿宋"/>
          <w:sz w:val="32"/>
          <w:szCs w:val="32"/>
        </w:rPr>
      </w:pPr>
      <w:r>
        <w:rPr>
          <w:rFonts w:hint="eastAsia" w:ascii="仿宋" w:hAnsi="仿宋" w:eastAsia="仿宋" w:cs="仿宋"/>
          <w:sz w:val="32"/>
          <w:szCs w:val="32"/>
        </w:rPr>
        <w:t>建立遍访进度台账（附件3）。进度台账要与遍访计划台账相对应，“遍访任务”对应计划台账中遍访的贫困村或贫困户数，如本季度未完成任务，需要在下个季度进行调整。</w:t>
      </w:r>
    </w:p>
    <w:p>
      <w:pPr>
        <w:ind w:firstLine="640" w:firstLineChars="200"/>
        <w:rPr>
          <w:rFonts w:ascii="仿宋" w:hAnsi="仿宋" w:eastAsia="仿宋" w:cs="仿宋"/>
          <w:sz w:val="32"/>
          <w:szCs w:val="32"/>
        </w:rPr>
      </w:pPr>
      <w:r>
        <w:rPr>
          <w:rFonts w:hint="eastAsia" w:ascii="仿宋" w:hAnsi="仿宋" w:eastAsia="仿宋" w:cs="仿宋"/>
          <w:sz w:val="32"/>
          <w:szCs w:val="32"/>
        </w:rPr>
        <w:t>要通过照片、记录本、第一书记、驻村工作日志等多种形式形成遍访佐证材料，要记录遍访的具体的时间、地点、遍访对象、意见建议及解决思路、取得成效等，如有照片要进行简要的文字说明，做好留存工作。</w:t>
      </w:r>
    </w:p>
    <w:p>
      <w:pPr>
        <w:ind w:firstLine="640" w:firstLineChars="200"/>
        <w:rPr>
          <w:rFonts w:ascii="仿宋" w:hAnsi="仿宋" w:eastAsia="仿宋" w:cs="仿宋"/>
          <w:sz w:val="32"/>
          <w:szCs w:val="32"/>
        </w:rPr>
      </w:pPr>
      <w:r>
        <w:rPr>
          <w:rFonts w:hint="eastAsia" w:ascii="仿宋" w:hAnsi="仿宋" w:eastAsia="仿宋" w:cs="仿宋"/>
          <w:sz w:val="32"/>
          <w:szCs w:val="32"/>
        </w:rPr>
        <w:t>要以遍访行动报告的形式每季度向上一级脱贫攻坚领导小组报告遍访行动开展情况。（村级向乡镇汇报，乡镇汇总后向县扶贫办汇报），报告要准确详实地汇报本季度遍访工作的开展情况，包括遍访总任务户（村）数、已完成遍访户（村）、未完成遍访户（村）数、汇总意见建议总数、已解决问题数、未解决问题数、取得的成绩和存在的不足等。并由主要领导签字盖章后做好存档及上报工作。</w:t>
      </w:r>
    </w:p>
    <w:p>
      <w:pPr>
        <w:ind w:firstLine="640" w:firstLineChars="200"/>
        <w:rPr>
          <w:rFonts w:ascii="仿宋" w:hAnsi="仿宋" w:eastAsia="仿宋" w:cs="仿宋"/>
          <w:sz w:val="32"/>
          <w:szCs w:val="32"/>
        </w:rPr>
      </w:pPr>
      <w:r>
        <w:rPr>
          <w:rFonts w:hint="eastAsia" w:ascii="楷体" w:hAnsi="楷体" w:eastAsia="楷体" w:cs="仿宋"/>
          <w:sz w:val="32"/>
          <w:szCs w:val="32"/>
        </w:rPr>
        <w:t>（四）严肃工作纪律。</w:t>
      </w:r>
      <w:r>
        <w:rPr>
          <w:rFonts w:hint="eastAsia" w:ascii="仿宋" w:hAnsi="仿宋" w:eastAsia="仿宋" w:cs="仿宋"/>
          <w:sz w:val="32"/>
          <w:szCs w:val="32"/>
        </w:rPr>
        <w:t>严格落实中央八项规定精神，坚持轻车简从、勤俭节约，不搞层层陪同，不得增加基层和群众负担，自觉遵守廉洁自律有关规定，切实维护党委、政府和领导干部良好形象。</w:t>
      </w:r>
    </w:p>
    <w:p>
      <w:pPr>
        <w:ind w:firstLine="640" w:firstLineChars="200"/>
        <w:rPr>
          <w:rFonts w:ascii="仿宋" w:hAnsi="仿宋" w:eastAsia="仿宋" w:cs="仿宋"/>
          <w:sz w:val="32"/>
          <w:szCs w:val="32"/>
        </w:rPr>
      </w:pPr>
      <w:r>
        <w:rPr>
          <w:rFonts w:hint="eastAsia" w:ascii="楷体" w:hAnsi="楷体" w:eastAsia="楷体" w:cs="仿宋"/>
          <w:sz w:val="32"/>
          <w:szCs w:val="32"/>
        </w:rPr>
        <w:t>（五）宣传典型事迹。</w:t>
      </w:r>
      <w:r>
        <w:rPr>
          <w:rFonts w:hint="eastAsia" w:ascii="仿宋" w:hAnsi="仿宋" w:eastAsia="仿宋" w:cs="仿宋"/>
          <w:sz w:val="32"/>
          <w:szCs w:val="32"/>
        </w:rPr>
        <w:t>深入宣传遍访行动中涌现的典型事迹，不断创新形式、丰富宣传内容，为脱贫攻坚工作营造良好的舆论氛围，为全体扶贫干部树立典型。</w:t>
      </w:r>
    </w:p>
    <w:p>
      <w:pPr>
        <w:ind w:firstLine="560"/>
        <w:rPr>
          <w:rFonts w:ascii="仿宋" w:hAnsi="仿宋" w:eastAsia="仿宋" w:cs="仿宋"/>
          <w:sz w:val="32"/>
          <w:szCs w:val="32"/>
        </w:rPr>
      </w:pPr>
      <w:r>
        <w:rPr>
          <w:rFonts w:hint="eastAsia" w:ascii="仿宋" w:hAnsi="仿宋" w:eastAsia="仿宋" w:cs="仿宋"/>
          <w:sz w:val="32"/>
          <w:szCs w:val="32"/>
        </w:rPr>
        <w:t>附1：县、乡镇（区）、村三级领导遍访计划台账</w:t>
      </w:r>
    </w:p>
    <w:p>
      <w:pPr>
        <w:ind w:firstLine="560"/>
        <w:rPr>
          <w:rFonts w:ascii="仿宋" w:hAnsi="仿宋" w:eastAsia="仿宋" w:cs="仿宋"/>
          <w:sz w:val="32"/>
          <w:szCs w:val="32"/>
        </w:rPr>
      </w:pPr>
      <w:r>
        <w:rPr>
          <w:rFonts w:hint="eastAsia" w:ascii="仿宋" w:hAnsi="仿宋" w:eastAsia="仿宋" w:cs="仿宋"/>
          <w:sz w:val="32"/>
          <w:szCs w:val="32"/>
        </w:rPr>
        <w:t>附2：县、乡镇（区）、村三级领导遍访工作台账</w:t>
      </w:r>
    </w:p>
    <w:p>
      <w:pPr>
        <w:ind w:firstLine="560"/>
        <w:rPr>
          <w:rFonts w:ascii="仿宋" w:hAnsi="仿宋" w:eastAsia="仿宋" w:cs="仿宋"/>
          <w:sz w:val="32"/>
          <w:szCs w:val="32"/>
        </w:rPr>
      </w:pPr>
      <w:r>
        <w:rPr>
          <w:rFonts w:hint="eastAsia" w:ascii="仿宋" w:hAnsi="仿宋" w:eastAsia="仿宋" w:cs="仿宋"/>
          <w:sz w:val="32"/>
          <w:szCs w:val="32"/>
        </w:rPr>
        <w:t>附3：县、乡镇（区）、村三级领导遍访进度台账</w:t>
      </w: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ind w:left="5840" w:leftChars="200" w:hanging="5200" w:hangingChars="1625"/>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cs="仿宋"/>
          <w:sz w:val="32"/>
          <w:szCs w:val="32"/>
          <w:lang w:val="en-US" w:eastAsia="zh-CN"/>
        </w:rPr>
        <w:t xml:space="preserve">                 </w:t>
      </w:r>
      <w:r>
        <w:rPr>
          <w:rFonts w:hint="eastAsia" w:ascii="仿宋" w:hAnsi="仿宋" w:cs="仿宋"/>
          <w:sz w:val="32"/>
          <w:szCs w:val="32"/>
          <w:lang w:eastAsia="zh-CN"/>
        </w:rPr>
        <w:t>永吉县扶贫开发办公室</w:t>
      </w:r>
      <w:r>
        <w:rPr>
          <w:rFonts w:hint="eastAsia" w:ascii="仿宋" w:hAnsi="仿宋" w:eastAsia="仿宋" w:cs="仿宋"/>
          <w:sz w:val="32"/>
          <w:szCs w:val="32"/>
        </w:rPr>
        <w:t xml:space="preserve">                       2020</w:t>
      </w:r>
      <w:r>
        <w:rPr>
          <w:rFonts w:hint="eastAsia" w:ascii="仿宋" w:hAnsi="仿宋" w:cs="仿宋"/>
          <w:sz w:val="32"/>
          <w:szCs w:val="32"/>
          <w:lang w:eastAsia="zh-CN"/>
        </w:rPr>
        <w:t>年</w:t>
      </w:r>
      <w:r>
        <w:rPr>
          <w:rFonts w:hint="eastAsia" w:ascii="仿宋" w:hAnsi="仿宋" w:eastAsia="仿宋" w:cs="仿宋"/>
          <w:sz w:val="32"/>
          <w:szCs w:val="32"/>
        </w:rPr>
        <w:t>3</w:t>
      </w:r>
      <w:r>
        <w:rPr>
          <w:rFonts w:hint="eastAsia" w:ascii="仿宋" w:hAnsi="仿宋" w:cs="仿宋"/>
          <w:sz w:val="32"/>
          <w:szCs w:val="32"/>
          <w:lang w:eastAsia="zh-CN"/>
        </w:rPr>
        <w:t>月</w:t>
      </w:r>
      <w:r>
        <w:rPr>
          <w:rFonts w:hint="eastAsia" w:ascii="仿宋" w:hAnsi="仿宋" w:eastAsia="仿宋" w:cs="仿宋"/>
          <w:sz w:val="32"/>
          <w:szCs w:val="32"/>
        </w:rPr>
        <w:t>31</w:t>
      </w:r>
      <w:r>
        <w:rPr>
          <w:rFonts w:hint="eastAsia" w:ascii="仿宋" w:hAnsi="仿宋" w:cs="仿宋"/>
          <w:sz w:val="32"/>
          <w:szCs w:val="32"/>
          <w:lang w:eastAsia="zh-CN"/>
        </w:rPr>
        <w:t>日</w:t>
      </w:r>
      <w:r>
        <w:rPr>
          <w:rFonts w:hint="eastAsia" w:ascii="仿宋" w:hAnsi="仿宋" w:eastAsia="仿宋" w:cs="仿宋"/>
          <w:sz w:val="32"/>
          <w:szCs w:val="32"/>
        </w:rPr>
        <w:t xml:space="preserve"> </w:t>
      </w:r>
    </w:p>
    <w:p>
      <w:pPr>
        <w:rPr>
          <w:rFonts w:ascii="仿宋" w:hAnsi="仿宋" w:eastAsia="仿宋" w:cs="仿宋"/>
          <w:sz w:val="28"/>
          <w:szCs w:val="28"/>
        </w:rPr>
        <w:sectPr>
          <w:pgSz w:w="11906" w:h="16838"/>
          <w:pgMar w:top="1440" w:right="1800" w:bottom="1440" w:left="1800" w:header="851" w:footer="992" w:gutter="0"/>
          <w:cols w:space="425" w:num="1"/>
          <w:docGrid w:type="lines" w:linePitch="312" w:charSpace="0"/>
        </w:sectPr>
      </w:pPr>
    </w:p>
    <w:p>
      <w:pPr>
        <w:spacing w:line="560" w:lineRule="exact"/>
        <w:rPr>
          <w:rFonts w:ascii="仿宋" w:hAnsi="仿宋" w:eastAsia="仿宋" w:cs="仿宋"/>
          <w:b/>
          <w:bCs/>
          <w:sz w:val="28"/>
          <w:szCs w:val="28"/>
        </w:rPr>
      </w:pPr>
      <w:r>
        <w:rPr>
          <w:rFonts w:hint="eastAsia" w:ascii="仿宋" w:hAnsi="仿宋" w:eastAsia="仿宋" w:cs="仿宋"/>
          <w:b/>
          <w:bCs/>
          <w:sz w:val="28"/>
          <w:szCs w:val="28"/>
        </w:rPr>
        <w:t>附1</w:t>
      </w:r>
    </w:p>
    <w:p>
      <w:pPr>
        <w:widowControl/>
        <w:jc w:val="center"/>
        <w:rPr>
          <w:rFonts w:ascii="方正大标宋简体" w:eastAsia="方正大标宋简体" w:cs="方正大标宋简体"/>
          <w:kern w:val="0"/>
          <w:sz w:val="44"/>
          <w:szCs w:val="44"/>
        </w:rPr>
      </w:pPr>
      <w:r>
        <w:rPr>
          <w:rFonts w:hint="eastAsia" w:ascii="方正大标宋简体" w:eastAsia="方正大标宋简体" w:cs="方正大标宋简体"/>
          <w:kern w:val="0"/>
          <w:sz w:val="44"/>
          <w:szCs w:val="44"/>
        </w:rPr>
        <w:t>县、乡镇（区）、村三级领导遍访计划台账</w:t>
      </w:r>
    </w:p>
    <w:tbl>
      <w:tblPr>
        <w:tblStyle w:val="6"/>
        <w:tblpPr w:leftFromText="180" w:rightFromText="180" w:vertAnchor="text" w:horzAnchor="page" w:tblpX="1131" w:tblpY="899"/>
        <w:tblOverlap w:val="never"/>
        <w:tblW w:w="14578" w:type="dxa"/>
        <w:tblInd w:w="0" w:type="dxa"/>
        <w:tblLayout w:type="fixed"/>
        <w:tblCellMar>
          <w:top w:w="0" w:type="dxa"/>
          <w:left w:w="108" w:type="dxa"/>
          <w:bottom w:w="0" w:type="dxa"/>
          <w:right w:w="108" w:type="dxa"/>
        </w:tblCellMar>
      </w:tblPr>
      <w:tblGrid>
        <w:gridCol w:w="1204"/>
        <w:gridCol w:w="2651"/>
        <w:gridCol w:w="4525"/>
        <w:gridCol w:w="4338"/>
        <w:gridCol w:w="1860"/>
      </w:tblGrid>
      <w:tr>
        <w:tblPrEx>
          <w:tblCellMar>
            <w:top w:w="0" w:type="dxa"/>
            <w:left w:w="108" w:type="dxa"/>
            <w:bottom w:w="0" w:type="dxa"/>
            <w:right w:w="108" w:type="dxa"/>
          </w:tblCellMar>
        </w:tblPrEx>
        <w:trPr>
          <w:trHeight w:val="817" w:hRule="atLeast"/>
        </w:trPr>
        <w:tc>
          <w:tcPr>
            <w:tcW w:w="1204" w:type="dxa"/>
            <w:tcBorders>
              <w:top w:val="single" w:color="auto" w:sz="4" w:space="0"/>
              <w:left w:val="single" w:color="auto" w:sz="4" w:space="0"/>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序号</w:t>
            </w:r>
          </w:p>
        </w:tc>
        <w:tc>
          <w:tcPr>
            <w:tcW w:w="2651"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 xml:space="preserve">计划遍访时间          </w:t>
            </w:r>
          </w:p>
        </w:tc>
        <w:tc>
          <w:tcPr>
            <w:tcW w:w="4525"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计划遍访行政村</w:t>
            </w:r>
          </w:p>
        </w:tc>
        <w:tc>
          <w:tcPr>
            <w:tcW w:w="4338"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计划遍访贫困户（户数）</w:t>
            </w:r>
          </w:p>
        </w:tc>
        <w:tc>
          <w:tcPr>
            <w:tcW w:w="1860"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备注</w:t>
            </w:r>
          </w:p>
        </w:tc>
      </w:tr>
      <w:tr>
        <w:tblPrEx>
          <w:tblCellMar>
            <w:top w:w="0" w:type="dxa"/>
            <w:left w:w="108" w:type="dxa"/>
            <w:bottom w:w="0" w:type="dxa"/>
            <w:right w:w="108" w:type="dxa"/>
          </w:tblCellMar>
        </w:tblPrEx>
        <w:trPr>
          <w:trHeight w:val="1085" w:hRule="exact"/>
        </w:trPr>
        <w:tc>
          <w:tcPr>
            <w:tcW w:w="1204" w:type="dxa"/>
            <w:tcBorders>
              <w:top w:val="nil"/>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1</w:t>
            </w:r>
          </w:p>
        </w:tc>
        <w:tc>
          <w:tcPr>
            <w:tcW w:w="2651"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第一季度</w:t>
            </w:r>
          </w:p>
        </w:tc>
        <w:tc>
          <w:tcPr>
            <w:tcW w:w="4525" w:type="dxa"/>
            <w:tcBorders>
              <w:top w:val="nil"/>
              <w:left w:val="nil"/>
              <w:bottom w:val="single" w:color="auto" w:sz="4" w:space="0"/>
              <w:right w:val="single" w:color="auto" w:sz="4" w:space="0"/>
            </w:tcBorders>
            <w:noWrap/>
            <w:vAlign w:val="center"/>
          </w:tcPr>
          <w:p>
            <w:pPr>
              <w:widowControl/>
              <w:spacing w:line="300" w:lineRule="exact"/>
              <w:jc w:val="center"/>
              <w:rPr>
                <w:rFonts w:ascii="宋体" w:hAnsi="宋体" w:eastAsia="宋体" w:cs="宋体"/>
                <w:color w:val="000000"/>
                <w:kern w:val="0"/>
                <w:szCs w:val="21"/>
              </w:rPr>
            </w:pPr>
          </w:p>
        </w:tc>
        <w:tc>
          <w:tcPr>
            <w:tcW w:w="4338"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c>
          <w:tcPr>
            <w:tcW w:w="1860"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r>
      <w:tr>
        <w:tblPrEx>
          <w:tblCellMar>
            <w:top w:w="0" w:type="dxa"/>
            <w:left w:w="108" w:type="dxa"/>
            <w:bottom w:w="0" w:type="dxa"/>
            <w:right w:w="108" w:type="dxa"/>
          </w:tblCellMar>
        </w:tblPrEx>
        <w:trPr>
          <w:trHeight w:val="908" w:hRule="exact"/>
        </w:trPr>
        <w:tc>
          <w:tcPr>
            <w:tcW w:w="1204" w:type="dxa"/>
            <w:tcBorders>
              <w:top w:val="nil"/>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2</w:t>
            </w:r>
          </w:p>
        </w:tc>
        <w:tc>
          <w:tcPr>
            <w:tcW w:w="2651"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第二季度</w:t>
            </w:r>
          </w:p>
        </w:tc>
        <w:tc>
          <w:tcPr>
            <w:tcW w:w="4525" w:type="dxa"/>
            <w:tcBorders>
              <w:top w:val="nil"/>
              <w:left w:val="nil"/>
              <w:bottom w:val="single" w:color="auto" w:sz="4" w:space="0"/>
              <w:right w:val="single" w:color="auto" w:sz="4" w:space="0"/>
            </w:tcBorders>
            <w:noWrap/>
            <w:vAlign w:val="center"/>
          </w:tcPr>
          <w:p>
            <w:pPr>
              <w:widowControl/>
              <w:spacing w:line="300" w:lineRule="exact"/>
              <w:jc w:val="center"/>
              <w:rPr>
                <w:rFonts w:ascii="宋体" w:hAnsi="宋体" w:eastAsia="宋体" w:cs="宋体"/>
                <w:color w:val="000000"/>
                <w:kern w:val="0"/>
                <w:szCs w:val="21"/>
              </w:rPr>
            </w:pPr>
          </w:p>
        </w:tc>
        <w:tc>
          <w:tcPr>
            <w:tcW w:w="4338"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c>
          <w:tcPr>
            <w:tcW w:w="1860"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r>
      <w:tr>
        <w:tblPrEx>
          <w:tblCellMar>
            <w:top w:w="0" w:type="dxa"/>
            <w:left w:w="108" w:type="dxa"/>
            <w:bottom w:w="0" w:type="dxa"/>
            <w:right w:w="108" w:type="dxa"/>
          </w:tblCellMar>
        </w:tblPrEx>
        <w:trPr>
          <w:trHeight w:val="896" w:hRule="exact"/>
        </w:trPr>
        <w:tc>
          <w:tcPr>
            <w:tcW w:w="120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3</w:t>
            </w:r>
          </w:p>
        </w:tc>
        <w:tc>
          <w:tcPr>
            <w:tcW w:w="2651"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第三季度</w:t>
            </w:r>
          </w:p>
        </w:tc>
        <w:tc>
          <w:tcPr>
            <w:tcW w:w="4525"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eastAsia="宋体" w:cs="宋体"/>
                <w:color w:val="000000"/>
                <w:kern w:val="0"/>
                <w:szCs w:val="21"/>
              </w:rPr>
            </w:pPr>
          </w:p>
        </w:tc>
        <w:tc>
          <w:tcPr>
            <w:tcW w:w="4338"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c>
          <w:tcPr>
            <w:tcW w:w="1860"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r>
      <w:tr>
        <w:tblPrEx>
          <w:tblCellMar>
            <w:top w:w="0" w:type="dxa"/>
            <w:left w:w="108" w:type="dxa"/>
            <w:bottom w:w="0" w:type="dxa"/>
            <w:right w:w="108" w:type="dxa"/>
          </w:tblCellMar>
        </w:tblPrEx>
        <w:trPr>
          <w:trHeight w:val="1019" w:hRule="exact"/>
        </w:trPr>
        <w:tc>
          <w:tcPr>
            <w:tcW w:w="120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4</w:t>
            </w:r>
          </w:p>
        </w:tc>
        <w:tc>
          <w:tcPr>
            <w:tcW w:w="2651"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第四季度</w:t>
            </w:r>
          </w:p>
        </w:tc>
        <w:tc>
          <w:tcPr>
            <w:tcW w:w="4525"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eastAsia="宋体" w:cs="宋体"/>
                <w:color w:val="000000"/>
                <w:kern w:val="0"/>
                <w:szCs w:val="21"/>
              </w:rPr>
            </w:pPr>
          </w:p>
        </w:tc>
        <w:tc>
          <w:tcPr>
            <w:tcW w:w="4338"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c>
          <w:tcPr>
            <w:tcW w:w="1860"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r>
    </w:tbl>
    <w:p>
      <w:pPr>
        <w:widowControl/>
        <w:jc w:val="left"/>
        <w:rPr>
          <w:rFonts w:ascii="仿宋" w:hAnsi="仿宋" w:eastAsia="仿宋" w:cs="仿宋"/>
          <w:kern w:val="0"/>
          <w:sz w:val="28"/>
          <w:szCs w:val="28"/>
          <w:u w:val="single"/>
        </w:rPr>
      </w:pPr>
      <w:r>
        <w:rPr>
          <w:rFonts w:hint="eastAsia" w:ascii="仿宋" w:hAnsi="仿宋" w:eastAsia="仿宋" w:cs="仿宋"/>
          <w:kern w:val="0"/>
          <w:sz w:val="28"/>
          <w:szCs w:val="28"/>
        </w:rPr>
        <w:t>遍访人姓名及职务：</w:t>
      </w:r>
    </w:p>
    <w:p>
      <w:pPr>
        <w:widowControl/>
        <w:spacing w:line="400" w:lineRule="exact"/>
        <w:jc w:val="left"/>
        <w:rPr>
          <w:rFonts w:eastAsia="仿宋_GB2312" w:cs="宋体"/>
          <w:kern w:val="0"/>
          <w:sz w:val="24"/>
        </w:rPr>
      </w:pPr>
      <w:r>
        <w:rPr>
          <w:rFonts w:hint="eastAsia" w:eastAsia="仿宋_GB2312" w:cs="宋体"/>
          <w:kern w:val="0"/>
          <w:sz w:val="24"/>
        </w:rPr>
        <w:t>备注：县级领导遍访台账报送到县扶贫办404室，联系人：刘春亮，联系电话：64229480；乡镇（区）、村两级领导遍访台账由乡镇（区）扶贫办收集留存。</w:t>
      </w:r>
    </w:p>
    <w:p>
      <w:pPr>
        <w:spacing w:line="560" w:lineRule="exact"/>
        <w:rPr>
          <w:rFonts w:ascii="仿宋" w:hAnsi="仿宋" w:eastAsia="仿宋" w:cs="仿宋"/>
          <w:b/>
          <w:bCs/>
          <w:sz w:val="28"/>
          <w:szCs w:val="28"/>
        </w:rPr>
      </w:pPr>
      <w:r>
        <w:rPr>
          <w:rFonts w:hint="eastAsia" w:ascii="仿宋" w:hAnsi="仿宋" w:eastAsia="仿宋" w:cs="仿宋"/>
          <w:b/>
          <w:bCs/>
          <w:sz w:val="28"/>
          <w:szCs w:val="28"/>
        </w:rPr>
        <w:t>附2</w:t>
      </w:r>
    </w:p>
    <w:p>
      <w:pPr>
        <w:widowControl/>
        <w:jc w:val="center"/>
        <w:rPr>
          <w:rFonts w:ascii="方正大标宋简体" w:eastAsia="方正大标宋简体" w:cs="方正大标宋简体"/>
          <w:kern w:val="0"/>
          <w:sz w:val="44"/>
          <w:szCs w:val="44"/>
        </w:rPr>
      </w:pPr>
      <w:r>
        <w:rPr>
          <w:rFonts w:hint="eastAsia" w:ascii="方正大标宋简体" w:eastAsia="方正大标宋简体" w:cs="方正大标宋简体"/>
          <w:kern w:val="0"/>
          <w:sz w:val="44"/>
          <w:szCs w:val="44"/>
        </w:rPr>
        <w:t>县、乡镇（区）、村三级领导遍访工作台账</w:t>
      </w:r>
    </w:p>
    <w:tbl>
      <w:tblPr>
        <w:tblStyle w:val="6"/>
        <w:tblpPr w:leftFromText="180" w:rightFromText="180" w:vertAnchor="text" w:horzAnchor="page" w:tblpX="1131" w:tblpY="899"/>
        <w:tblOverlap w:val="never"/>
        <w:tblW w:w="0" w:type="auto"/>
        <w:tblInd w:w="0" w:type="dxa"/>
        <w:tblLayout w:type="fixed"/>
        <w:tblCellMar>
          <w:top w:w="0" w:type="dxa"/>
          <w:left w:w="108" w:type="dxa"/>
          <w:bottom w:w="0" w:type="dxa"/>
          <w:right w:w="108" w:type="dxa"/>
        </w:tblCellMar>
      </w:tblPr>
      <w:tblGrid>
        <w:gridCol w:w="2914"/>
        <w:gridCol w:w="2747"/>
        <w:gridCol w:w="2527"/>
        <w:gridCol w:w="6311"/>
      </w:tblGrid>
      <w:tr>
        <w:tblPrEx>
          <w:tblCellMar>
            <w:top w:w="0" w:type="dxa"/>
            <w:left w:w="108" w:type="dxa"/>
            <w:bottom w:w="0" w:type="dxa"/>
            <w:right w:w="108" w:type="dxa"/>
          </w:tblCellMar>
        </w:tblPrEx>
        <w:trPr>
          <w:trHeight w:val="1200" w:hRule="atLeast"/>
        </w:trPr>
        <w:tc>
          <w:tcPr>
            <w:tcW w:w="2914" w:type="dxa"/>
            <w:tcBorders>
              <w:top w:val="single" w:color="auto" w:sz="4" w:space="0"/>
              <w:left w:val="single" w:color="auto" w:sz="4" w:space="0"/>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遍访时间          （年月日）</w:t>
            </w:r>
          </w:p>
        </w:tc>
        <w:tc>
          <w:tcPr>
            <w:tcW w:w="2747"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行政村</w:t>
            </w:r>
          </w:p>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（名称）</w:t>
            </w:r>
          </w:p>
        </w:tc>
        <w:tc>
          <w:tcPr>
            <w:tcW w:w="2527"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贫困户           （姓名）</w:t>
            </w:r>
          </w:p>
        </w:tc>
        <w:tc>
          <w:tcPr>
            <w:tcW w:w="6311"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贫困对象反映的意见建议及解决问题的思路举措</w:t>
            </w:r>
          </w:p>
        </w:tc>
      </w:tr>
      <w:tr>
        <w:tblPrEx>
          <w:tblCellMar>
            <w:top w:w="0" w:type="dxa"/>
            <w:left w:w="108" w:type="dxa"/>
            <w:bottom w:w="0" w:type="dxa"/>
            <w:right w:w="108" w:type="dxa"/>
          </w:tblCellMar>
        </w:tblPrEx>
        <w:trPr>
          <w:trHeight w:val="762" w:hRule="atLeast"/>
        </w:trPr>
        <w:tc>
          <w:tcPr>
            <w:tcW w:w="2914" w:type="dxa"/>
            <w:tcBorders>
              <w:top w:val="nil"/>
              <w:left w:val="single" w:color="auto" w:sz="4" w:space="0"/>
              <w:bottom w:val="single" w:color="auto" w:sz="4" w:space="0"/>
              <w:right w:val="single" w:color="auto" w:sz="4" w:space="0"/>
            </w:tcBorders>
            <w:noWrap/>
            <w:vAlign w:val="center"/>
          </w:tcPr>
          <w:p>
            <w:pPr>
              <w:widowControl/>
              <w:spacing w:line="300" w:lineRule="exact"/>
              <w:jc w:val="center"/>
              <w:rPr>
                <w:color w:val="000000"/>
                <w:kern w:val="0"/>
                <w:sz w:val="28"/>
                <w:szCs w:val="28"/>
              </w:rPr>
            </w:pPr>
          </w:p>
        </w:tc>
        <w:tc>
          <w:tcPr>
            <w:tcW w:w="2747" w:type="dxa"/>
            <w:tcBorders>
              <w:top w:val="nil"/>
              <w:left w:val="nil"/>
              <w:bottom w:val="single" w:color="auto" w:sz="4" w:space="0"/>
              <w:right w:val="single" w:color="auto" w:sz="4" w:space="0"/>
            </w:tcBorders>
            <w:noWrap/>
            <w:vAlign w:val="center"/>
          </w:tcPr>
          <w:p>
            <w:pPr>
              <w:widowControl/>
              <w:spacing w:line="300" w:lineRule="exact"/>
              <w:jc w:val="center"/>
              <w:rPr>
                <w:rFonts w:ascii="仿宋_GB2312" w:eastAsia="仿宋_GB2312" w:cs="宋体"/>
                <w:color w:val="000000"/>
                <w:kern w:val="0"/>
                <w:sz w:val="28"/>
                <w:szCs w:val="28"/>
              </w:rPr>
            </w:pPr>
          </w:p>
        </w:tc>
        <w:tc>
          <w:tcPr>
            <w:tcW w:w="2527" w:type="dxa"/>
            <w:tcBorders>
              <w:top w:val="nil"/>
              <w:left w:val="nil"/>
              <w:bottom w:val="single" w:color="auto" w:sz="4" w:space="0"/>
              <w:right w:val="single" w:color="auto" w:sz="4" w:space="0"/>
            </w:tcBorders>
            <w:noWrap/>
            <w:vAlign w:val="center"/>
          </w:tcPr>
          <w:p>
            <w:pPr>
              <w:widowControl/>
              <w:jc w:val="center"/>
              <w:textAlignment w:val="center"/>
              <w:rPr>
                <w:color w:val="000000"/>
                <w:kern w:val="0"/>
                <w:sz w:val="28"/>
                <w:szCs w:val="28"/>
              </w:rPr>
            </w:pPr>
          </w:p>
        </w:tc>
        <w:tc>
          <w:tcPr>
            <w:tcW w:w="6311" w:type="dxa"/>
            <w:tcBorders>
              <w:top w:val="nil"/>
              <w:left w:val="nil"/>
              <w:bottom w:val="single" w:color="auto" w:sz="4" w:space="0"/>
              <w:right w:val="single" w:color="auto" w:sz="4" w:space="0"/>
            </w:tcBorders>
            <w:noWrap/>
            <w:vAlign w:val="center"/>
          </w:tcPr>
          <w:p>
            <w:pPr>
              <w:widowControl/>
              <w:spacing w:line="300" w:lineRule="exact"/>
              <w:jc w:val="center"/>
              <w:rPr>
                <w:rFonts w:ascii="仿宋_GB2312" w:eastAsia="仿宋_GB2312" w:cs="宋体"/>
                <w:color w:val="000000"/>
                <w:kern w:val="0"/>
                <w:sz w:val="28"/>
                <w:szCs w:val="28"/>
              </w:rPr>
            </w:pPr>
          </w:p>
        </w:tc>
      </w:tr>
      <w:tr>
        <w:tblPrEx>
          <w:tblCellMar>
            <w:top w:w="0" w:type="dxa"/>
            <w:left w:w="108" w:type="dxa"/>
            <w:bottom w:w="0" w:type="dxa"/>
            <w:right w:w="108" w:type="dxa"/>
          </w:tblCellMar>
        </w:tblPrEx>
        <w:trPr>
          <w:trHeight w:val="762" w:hRule="atLeast"/>
        </w:trPr>
        <w:tc>
          <w:tcPr>
            <w:tcW w:w="2914" w:type="dxa"/>
            <w:tcBorders>
              <w:top w:val="nil"/>
              <w:left w:val="single" w:color="auto" w:sz="4" w:space="0"/>
              <w:bottom w:val="single" w:color="auto" w:sz="4" w:space="0"/>
              <w:right w:val="single" w:color="auto" w:sz="4" w:space="0"/>
            </w:tcBorders>
            <w:noWrap/>
            <w:vAlign w:val="center"/>
          </w:tcPr>
          <w:p>
            <w:pPr>
              <w:widowControl/>
              <w:spacing w:line="300" w:lineRule="exact"/>
              <w:jc w:val="center"/>
              <w:rPr>
                <w:color w:val="000000"/>
                <w:kern w:val="0"/>
                <w:sz w:val="28"/>
                <w:szCs w:val="28"/>
              </w:rPr>
            </w:pPr>
          </w:p>
        </w:tc>
        <w:tc>
          <w:tcPr>
            <w:tcW w:w="2747" w:type="dxa"/>
            <w:tcBorders>
              <w:top w:val="nil"/>
              <w:left w:val="nil"/>
              <w:bottom w:val="single" w:color="auto" w:sz="4" w:space="0"/>
              <w:right w:val="single" w:color="auto" w:sz="4" w:space="0"/>
            </w:tcBorders>
            <w:noWrap/>
            <w:vAlign w:val="center"/>
          </w:tcPr>
          <w:p>
            <w:pPr>
              <w:widowControl/>
              <w:spacing w:line="300" w:lineRule="exact"/>
              <w:jc w:val="center"/>
              <w:rPr>
                <w:rFonts w:ascii="仿宋_GB2312" w:eastAsia="仿宋_GB2312" w:cs="宋体"/>
                <w:color w:val="000000"/>
                <w:kern w:val="0"/>
                <w:sz w:val="28"/>
                <w:szCs w:val="28"/>
              </w:rPr>
            </w:pPr>
          </w:p>
        </w:tc>
        <w:tc>
          <w:tcPr>
            <w:tcW w:w="2527" w:type="dxa"/>
            <w:tcBorders>
              <w:top w:val="nil"/>
              <w:left w:val="nil"/>
              <w:bottom w:val="single" w:color="auto" w:sz="4" w:space="0"/>
              <w:right w:val="single" w:color="auto" w:sz="4" w:space="0"/>
            </w:tcBorders>
            <w:noWrap/>
            <w:vAlign w:val="center"/>
          </w:tcPr>
          <w:p>
            <w:pPr>
              <w:widowControl/>
              <w:jc w:val="center"/>
              <w:textAlignment w:val="center"/>
              <w:rPr>
                <w:rFonts w:ascii="仿宋_GB2312" w:eastAsia="仿宋_GB2312" w:cs="宋体"/>
                <w:color w:val="000000"/>
                <w:kern w:val="0"/>
                <w:sz w:val="28"/>
                <w:szCs w:val="28"/>
              </w:rPr>
            </w:pPr>
          </w:p>
        </w:tc>
        <w:tc>
          <w:tcPr>
            <w:tcW w:w="6311" w:type="dxa"/>
            <w:tcBorders>
              <w:top w:val="nil"/>
              <w:left w:val="nil"/>
              <w:bottom w:val="single" w:color="auto" w:sz="4" w:space="0"/>
              <w:right w:val="single" w:color="auto" w:sz="4" w:space="0"/>
            </w:tcBorders>
            <w:noWrap/>
            <w:vAlign w:val="center"/>
          </w:tcPr>
          <w:p>
            <w:pPr>
              <w:widowControl/>
              <w:spacing w:line="300" w:lineRule="exact"/>
              <w:jc w:val="center"/>
              <w:rPr>
                <w:rFonts w:ascii="仿宋_GB2312" w:eastAsia="仿宋_GB2312" w:cs="宋体"/>
                <w:color w:val="000000"/>
                <w:kern w:val="0"/>
                <w:sz w:val="28"/>
                <w:szCs w:val="28"/>
              </w:rPr>
            </w:pPr>
          </w:p>
        </w:tc>
      </w:tr>
      <w:tr>
        <w:tblPrEx>
          <w:tblCellMar>
            <w:top w:w="0" w:type="dxa"/>
            <w:left w:w="108" w:type="dxa"/>
            <w:bottom w:w="0" w:type="dxa"/>
            <w:right w:w="108" w:type="dxa"/>
          </w:tblCellMar>
        </w:tblPrEx>
        <w:trPr>
          <w:trHeight w:val="762" w:hRule="atLeast"/>
        </w:trPr>
        <w:tc>
          <w:tcPr>
            <w:tcW w:w="2914" w:type="dxa"/>
            <w:tcBorders>
              <w:top w:val="nil"/>
              <w:left w:val="single" w:color="auto" w:sz="4" w:space="0"/>
              <w:bottom w:val="single" w:color="auto" w:sz="4" w:space="0"/>
              <w:right w:val="single" w:color="auto" w:sz="4" w:space="0"/>
            </w:tcBorders>
            <w:noWrap/>
            <w:vAlign w:val="center"/>
          </w:tcPr>
          <w:p>
            <w:pPr>
              <w:widowControl/>
              <w:spacing w:line="300" w:lineRule="exact"/>
              <w:jc w:val="center"/>
              <w:rPr>
                <w:color w:val="000000"/>
                <w:kern w:val="0"/>
                <w:sz w:val="28"/>
                <w:szCs w:val="28"/>
              </w:rPr>
            </w:pPr>
          </w:p>
        </w:tc>
        <w:tc>
          <w:tcPr>
            <w:tcW w:w="2747" w:type="dxa"/>
            <w:tcBorders>
              <w:top w:val="nil"/>
              <w:left w:val="nil"/>
              <w:bottom w:val="single" w:color="auto" w:sz="4" w:space="0"/>
              <w:right w:val="single" w:color="auto" w:sz="4" w:space="0"/>
            </w:tcBorders>
            <w:noWrap/>
            <w:vAlign w:val="center"/>
          </w:tcPr>
          <w:p>
            <w:pPr>
              <w:widowControl/>
              <w:spacing w:line="300" w:lineRule="exact"/>
              <w:jc w:val="center"/>
              <w:rPr>
                <w:rFonts w:ascii="仿宋_GB2312" w:eastAsia="仿宋_GB2312" w:cs="宋体"/>
                <w:color w:val="000000"/>
                <w:kern w:val="0"/>
                <w:sz w:val="28"/>
                <w:szCs w:val="28"/>
              </w:rPr>
            </w:pPr>
          </w:p>
        </w:tc>
        <w:tc>
          <w:tcPr>
            <w:tcW w:w="2527" w:type="dxa"/>
            <w:tcBorders>
              <w:top w:val="nil"/>
              <w:left w:val="nil"/>
              <w:bottom w:val="single" w:color="auto" w:sz="4" w:space="0"/>
              <w:right w:val="single" w:color="auto" w:sz="4" w:space="0"/>
            </w:tcBorders>
            <w:noWrap/>
            <w:vAlign w:val="center"/>
          </w:tcPr>
          <w:p>
            <w:pPr>
              <w:widowControl/>
              <w:jc w:val="center"/>
              <w:textAlignment w:val="center"/>
              <w:rPr>
                <w:rFonts w:ascii="仿宋_GB2312" w:eastAsia="仿宋_GB2312" w:cs="宋体"/>
                <w:color w:val="000000"/>
                <w:kern w:val="0"/>
                <w:sz w:val="28"/>
                <w:szCs w:val="28"/>
              </w:rPr>
            </w:pPr>
          </w:p>
        </w:tc>
        <w:tc>
          <w:tcPr>
            <w:tcW w:w="6311" w:type="dxa"/>
            <w:tcBorders>
              <w:top w:val="nil"/>
              <w:left w:val="nil"/>
              <w:bottom w:val="single" w:color="auto" w:sz="4" w:space="0"/>
              <w:right w:val="single" w:color="auto" w:sz="4" w:space="0"/>
            </w:tcBorders>
            <w:noWrap/>
            <w:vAlign w:val="center"/>
          </w:tcPr>
          <w:p>
            <w:pPr>
              <w:widowControl/>
              <w:spacing w:line="300" w:lineRule="exact"/>
              <w:jc w:val="center"/>
              <w:rPr>
                <w:rFonts w:ascii="仿宋_GB2312" w:eastAsia="仿宋_GB2312" w:cs="宋体"/>
                <w:color w:val="000000"/>
                <w:kern w:val="0"/>
                <w:sz w:val="28"/>
                <w:szCs w:val="28"/>
              </w:rPr>
            </w:pPr>
          </w:p>
        </w:tc>
      </w:tr>
      <w:tr>
        <w:tblPrEx>
          <w:tblCellMar>
            <w:top w:w="0" w:type="dxa"/>
            <w:left w:w="108" w:type="dxa"/>
            <w:bottom w:w="0" w:type="dxa"/>
            <w:right w:w="108" w:type="dxa"/>
          </w:tblCellMar>
        </w:tblPrEx>
        <w:trPr>
          <w:trHeight w:val="762" w:hRule="atLeast"/>
        </w:trPr>
        <w:tc>
          <w:tcPr>
            <w:tcW w:w="2914" w:type="dxa"/>
            <w:tcBorders>
              <w:top w:val="nil"/>
              <w:left w:val="single" w:color="auto" w:sz="4" w:space="0"/>
              <w:bottom w:val="single" w:color="auto" w:sz="4" w:space="0"/>
              <w:right w:val="single" w:color="auto" w:sz="4" w:space="0"/>
            </w:tcBorders>
            <w:noWrap/>
            <w:vAlign w:val="center"/>
          </w:tcPr>
          <w:p>
            <w:pPr>
              <w:widowControl/>
              <w:spacing w:line="300" w:lineRule="exact"/>
              <w:jc w:val="center"/>
              <w:rPr>
                <w:color w:val="000000"/>
                <w:kern w:val="0"/>
                <w:sz w:val="28"/>
                <w:szCs w:val="28"/>
              </w:rPr>
            </w:pPr>
          </w:p>
        </w:tc>
        <w:tc>
          <w:tcPr>
            <w:tcW w:w="2747" w:type="dxa"/>
            <w:tcBorders>
              <w:top w:val="nil"/>
              <w:left w:val="nil"/>
              <w:bottom w:val="single" w:color="auto" w:sz="4" w:space="0"/>
              <w:right w:val="single" w:color="auto" w:sz="4" w:space="0"/>
            </w:tcBorders>
            <w:noWrap/>
            <w:vAlign w:val="center"/>
          </w:tcPr>
          <w:p>
            <w:pPr>
              <w:widowControl/>
              <w:spacing w:line="300" w:lineRule="exact"/>
              <w:jc w:val="center"/>
              <w:rPr>
                <w:rFonts w:ascii="仿宋_GB2312" w:eastAsia="仿宋_GB2312" w:cs="宋体"/>
                <w:color w:val="000000"/>
                <w:kern w:val="0"/>
                <w:sz w:val="28"/>
                <w:szCs w:val="28"/>
              </w:rPr>
            </w:pPr>
          </w:p>
        </w:tc>
        <w:tc>
          <w:tcPr>
            <w:tcW w:w="2527" w:type="dxa"/>
            <w:tcBorders>
              <w:top w:val="nil"/>
              <w:left w:val="nil"/>
              <w:bottom w:val="single" w:color="auto" w:sz="4" w:space="0"/>
              <w:right w:val="single" w:color="auto" w:sz="4" w:space="0"/>
            </w:tcBorders>
            <w:noWrap/>
            <w:vAlign w:val="center"/>
          </w:tcPr>
          <w:p>
            <w:pPr>
              <w:widowControl/>
              <w:jc w:val="center"/>
              <w:textAlignment w:val="center"/>
              <w:rPr>
                <w:rFonts w:ascii="仿宋_GB2312" w:eastAsia="仿宋_GB2312" w:cs="宋体"/>
                <w:color w:val="000000"/>
                <w:kern w:val="0"/>
                <w:sz w:val="28"/>
                <w:szCs w:val="28"/>
              </w:rPr>
            </w:pPr>
          </w:p>
        </w:tc>
        <w:tc>
          <w:tcPr>
            <w:tcW w:w="6311" w:type="dxa"/>
            <w:tcBorders>
              <w:top w:val="nil"/>
              <w:left w:val="nil"/>
              <w:bottom w:val="single" w:color="auto" w:sz="4" w:space="0"/>
              <w:right w:val="single" w:color="auto" w:sz="4" w:space="0"/>
            </w:tcBorders>
            <w:noWrap/>
            <w:vAlign w:val="center"/>
          </w:tcPr>
          <w:p>
            <w:pPr>
              <w:widowControl/>
              <w:spacing w:line="300" w:lineRule="exact"/>
              <w:jc w:val="center"/>
              <w:rPr>
                <w:rFonts w:ascii="仿宋_GB2312" w:eastAsia="仿宋_GB2312" w:cs="宋体"/>
                <w:color w:val="000000"/>
                <w:kern w:val="0"/>
                <w:sz w:val="28"/>
                <w:szCs w:val="28"/>
              </w:rPr>
            </w:pPr>
          </w:p>
        </w:tc>
      </w:tr>
      <w:tr>
        <w:tblPrEx>
          <w:tblCellMar>
            <w:top w:w="0" w:type="dxa"/>
            <w:left w:w="108" w:type="dxa"/>
            <w:bottom w:w="0" w:type="dxa"/>
            <w:right w:w="108" w:type="dxa"/>
          </w:tblCellMar>
        </w:tblPrEx>
        <w:trPr>
          <w:trHeight w:val="762" w:hRule="atLeast"/>
        </w:trPr>
        <w:tc>
          <w:tcPr>
            <w:tcW w:w="2914" w:type="dxa"/>
            <w:tcBorders>
              <w:top w:val="nil"/>
              <w:left w:val="single" w:color="auto" w:sz="4" w:space="0"/>
              <w:bottom w:val="single" w:color="auto" w:sz="4" w:space="0"/>
              <w:right w:val="single" w:color="auto" w:sz="4" w:space="0"/>
            </w:tcBorders>
            <w:noWrap/>
            <w:vAlign w:val="center"/>
          </w:tcPr>
          <w:p>
            <w:pPr>
              <w:widowControl/>
              <w:spacing w:line="300" w:lineRule="exact"/>
              <w:jc w:val="center"/>
              <w:rPr>
                <w:color w:val="000000"/>
                <w:kern w:val="0"/>
                <w:sz w:val="28"/>
                <w:szCs w:val="28"/>
              </w:rPr>
            </w:pPr>
          </w:p>
        </w:tc>
        <w:tc>
          <w:tcPr>
            <w:tcW w:w="2747" w:type="dxa"/>
            <w:tcBorders>
              <w:top w:val="nil"/>
              <w:left w:val="nil"/>
              <w:bottom w:val="single" w:color="auto" w:sz="4" w:space="0"/>
              <w:right w:val="single" w:color="auto" w:sz="4" w:space="0"/>
            </w:tcBorders>
            <w:noWrap/>
            <w:vAlign w:val="center"/>
          </w:tcPr>
          <w:p>
            <w:pPr>
              <w:widowControl/>
              <w:spacing w:line="300" w:lineRule="exact"/>
              <w:jc w:val="center"/>
              <w:rPr>
                <w:rFonts w:ascii="仿宋_GB2312" w:eastAsia="仿宋_GB2312" w:cs="宋体"/>
                <w:color w:val="000000"/>
                <w:kern w:val="0"/>
                <w:sz w:val="28"/>
                <w:szCs w:val="28"/>
              </w:rPr>
            </w:pPr>
          </w:p>
        </w:tc>
        <w:tc>
          <w:tcPr>
            <w:tcW w:w="2527" w:type="dxa"/>
            <w:tcBorders>
              <w:top w:val="nil"/>
              <w:left w:val="nil"/>
              <w:bottom w:val="single" w:color="auto" w:sz="4" w:space="0"/>
              <w:right w:val="single" w:color="auto" w:sz="4" w:space="0"/>
            </w:tcBorders>
            <w:noWrap/>
            <w:vAlign w:val="center"/>
          </w:tcPr>
          <w:p>
            <w:pPr>
              <w:widowControl/>
              <w:jc w:val="center"/>
              <w:textAlignment w:val="center"/>
              <w:rPr>
                <w:rFonts w:ascii="仿宋_GB2312" w:eastAsia="仿宋_GB2312" w:cs="宋体"/>
                <w:color w:val="000000"/>
                <w:kern w:val="0"/>
                <w:sz w:val="28"/>
                <w:szCs w:val="28"/>
              </w:rPr>
            </w:pPr>
          </w:p>
        </w:tc>
        <w:tc>
          <w:tcPr>
            <w:tcW w:w="6311" w:type="dxa"/>
            <w:tcBorders>
              <w:top w:val="nil"/>
              <w:left w:val="nil"/>
              <w:bottom w:val="single" w:color="auto" w:sz="4" w:space="0"/>
              <w:right w:val="single" w:color="auto" w:sz="4" w:space="0"/>
            </w:tcBorders>
            <w:noWrap/>
            <w:vAlign w:val="center"/>
          </w:tcPr>
          <w:p>
            <w:pPr>
              <w:widowControl/>
              <w:spacing w:line="300" w:lineRule="exact"/>
              <w:jc w:val="center"/>
              <w:rPr>
                <w:rFonts w:ascii="仿宋_GB2312" w:eastAsia="仿宋_GB2312" w:cs="宋体"/>
                <w:color w:val="000000"/>
                <w:kern w:val="0"/>
                <w:sz w:val="28"/>
                <w:szCs w:val="28"/>
              </w:rPr>
            </w:pPr>
          </w:p>
        </w:tc>
      </w:tr>
    </w:tbl>
    <w:p>
      <w:pPr>
        <w:widowControl/>
        <w:jc w:val="left"/>
        <w:rPr>
          <w:rFonts w:ascii="仿宋" w:cs="仿宋"/>
          <w:kern w:val="0"/>
          <w:szCs w:val="32"/>
          <w:u w:val="single"/>
        </w:rPr>
      </w:pPr>
      <w:r>
        <w:rPr>
          <w:rFonts w:hint="eastAsia" w:ascii="仿宋" w:hAnsi="仿宋" w:eastAsia="仿宋" w:cs="仿宋"/>
          <w:kern w:val="0"/>
          <w:sz w:val="28"/>
          <w:szCs w:val="28"/>
        </w:rPr>
        <w:t>遍访人姓名及职务：</w:t>
      </w:r>
    </w:p>
    <w:p>
      <w:pPr>
        <w:widowControl/>
        <w:spacing w:line="400" w:lineRule="exact"/>
        <w:jc w:val="left"/>
        <w:rPr>
          <w:rFonts w:eastAsia="仿宋_GB2312" w:cs="宋体"/>
          <w:kern w:val="0"/>
          <w:sz w:val="24"/>
        </w:rPr>
      </w:pPr>
      <w:r>
        <w:rPr>
          <w:rFonts w:hint="eastAsia" w:eastAsia="仿宋_GB2312" w:cs="宋体"/>
          <w:kern w:val="0"/>
          <w:sz w:val="24"/>
        </w:rPr>
        <w:t>备注：县级领导遍访台账报送到县扶贫办404室，联系人：刘春亮，联系电话：64229480；乡镇（区）、村两级领导遍访台账由乡镇（区）扶贫办收集留存。</w:t>
      </w:r>
    </w:p>
    <w:p>
      <w:pPr>
        <w:spacing w:line="560" w:lineRule="exact"/>
        <w:rPr>
          <w:rFonts w:ascii="仿宋" w:hAnsi="仿宋" w:eastAsia="仿宋" w:cs="仿宋"/>
          <w:b/>
          <w:bCs/>
          <w:sz w:val="28"/>
          <w:szCs w:val="28"/>
        </w:rPr>
      </w:pPr>
      <w:r>
        <w:rPr>
          <w:rFonts w:hint="eastAsia" w:ascii="仿宋" w:hAnsi="仿宋" w:eastAsia="仿宋" w:cs="仿宋"/>
          <w:b/>
          <w:bCs/>
          <w:sz w:val="28"/>
          <w:szCs w:val="28"/>
        </w:rPr>
        <w:t>附3</w:t>
      </w:r>
    </w:p>
    <w:p>
      <w:pPr>
        <w:widowControl/>
        <w:jc w:val="center"/>
        <w:rPr>
          <w:rFonts w:ascii="方正大标宋简体" w:eastAsia="方正大标宋简体" w:cs="方正大标宋简体"/>
          <w:kern w:val="0"/>
          <w:sz w:val="44"/>
          <w:szCs w:val="44"/>
        </w:rPr>
      </w:pPr>
      <w:r>
        <w:rPr>
          <w:rFonts w:hint="eastAsia" w:ascii="方正大标宋简体" w:eastAsia="方正大标宋简体" w:cs="方正大标宋简体"/>
          <w:kern w:val="0"/>
          <w:sz w:val="44"/>
          <w:szCs w:val="44"/>
        </w:rPr>
        <w:t>县、乡镇（区）、村三级领导遍访进度台账</w:t>
      </w:r>
    </w:p>
    <w:tbl>
      <w:tblPr>
        <w:tblStyle w:val="6"/>
        <w:tblpPr w:leftFromText="180" w:rightFromText="180" w:vertAnchor="text" w:horzAnchor="page" w:tblpX="1131" w:tblpY="899"/>
        <w:tblOverlap w:val="never"/>
        <w:tblW w:w="14638" w:type="dxa"/>
        <w:tblInd w:w="0" w:type="dxa"/>
        <w:tblLayout w:type="fixed"/>
        <w:tblCellMar>
          <w:top w:w="0" w:type="dxa"/>
          <w:left w:w="108" w:type="dxa"/>
          <w:bottom w:w="0" w:type="dxa"/>
          <w:right w:w="108" w:type="dxa"/>
        </w:tblCellMar>
      </w:tblPr>
      <w:tblGrid>
        <w:gridCol w:w="1209"/>
        <w:gridCol w:w="2662"/>
        <w:gridCol w:w="4544"/>
        <w:gridCol w:w="4355"/>
        <w:gridCol w:w="1868"/>
      </w:tblGrid>
      <w:tr>
        <w:tblPrEx>
          <w:tblCellMar>
            <w:top w:w="0" w:type="dxa"/>
            <w:left w:w="108" w:type="dxa"/>
            <w:bottom w:w="0" w:type="dxa"/>
            <w:right w:w="108" w:type="dxa"/>
          </w:tblCellMar>
        </w:tblPrEx>
        <w:trPr>
          <w:trHeight w:val="874" w:hRule="atLeast"/>
        </w:trPr>
        <w:tc>
          <w:tcPr>
            <w:tcW w:w="1209" w:type="dxa"/>
            <w:tcBorders>
              <w:top w:val="single" w:color="auto" w:sz="4" w:space="0"/>
              <w:left w:val="single" w:color="auto" w:sz="4" w:space="0"/>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序号</w:t>
            </w:r>
          </w:p>
        </w:tc>
        <w:tc>
          <w:tcPr>
            <w:tcW w:w="2662"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时间</w:t>
            </w:r>
          </w:p>
        </w:tc>
        <w:tc>
          <w:tcPr>
            <w:tcW w:w="4544"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遍访任务</w:t>
            </w:r>
          </w:p>
        </w:tc>
        <w:tc>
          <w:tcPr>
            <w:tcW w:w="4355"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完成情况</w:t>
            </w:r>
          </w:p>
        </w:tc>
        <w:tc>
          <w:tcPr>
            <w:tcW w:w="1868" w:type="dxa"/>
            <w:tcBorders>
              <w:top w:val="single" w:color="auto" w:sz="4" w:space="0"/>
              <w:left w:val="nil"/>
              <w:bottom w:val="single" w:color="auto" w:sz="4" w:space="0"/>
              <w:right w:val="single" w:color="auto" w:sz="4" w:space="0"/>
            </w:tcBorders>
            <w:noWrap/>
            <w:vAlign w:val="center"/>
          </w:tcPr>
          <w:p>
            <w:pPr>
              <w:widowControl/>
              <w:spacing w:line="460" w:lineRule="exact"/>
              <w:jc w:val="center"/>
              <w:rPr>
                <w:rFonts w:eastAsia="仿宋_GB2312" w:cs="宋体"/>
                <w:b/>
                <w:bCs/>
                <w:color w:val="000000"/>
                <w:kern w:val="0"/>
                <w:sz w:val="28"/>
                <w:szCs w:val="28"/>
              </w:rPr>
            </w:pPr>
            <w:r>
              <w:rPr>
                <w:rFonts w:hint="eastAsia" w:eastAsia="仿宋_GB2312" w:cs="宋体"/>
                <w:b/>
                <w:bCs/>
                <w:color w:val="000000"/>
                <w:kern w:val="0"/>
                <w:sz w:val="28"/>
                <w:szCs w:val="28"/>
              </w:rPr>
              <w:t>备注</w:t>
            </w:r>
          </w:p>
        </w:tc>
      </w:tr>
      <w:tr>
        <w:tblPrEx>
          <w:tblCellMar>
            <w:top w:w="0" w:type="dxa"/>
            <w:left w:w="108" w:type="dxa"/>
            <w:bottom w:w="0" w:type="dxa"/>
            <w:right w:w="108" w:type="dxa"/>
          </w:tblCellMar>
        </w:tblPrEx>
        <w:trPr>
          <w:trHeight w:val="1161" w:hRule="exact"/>
        </w:trPr>
        <w:tc>
          <w:tcPr>
            <w:tcW w:w="1209" w:type="dxa"/>
            <w:tcBorders>
              <w:top w:val="nil"/>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1</w:t>
            </w:r>
          </w:p>
        </w:tc>
        <w:tc>
          <w:tcPr>
            <w:tcW w:w="2662"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第一季度</w:t>
            </w:r>
          </w:p>
        </w:tc>
        <w:tc>
          <w:tcPr>
            <w:tcW w:w="4544" w:type="dxa"/>
            <w:tcBorders>
              <w:top w:val="nil"/>
              <w:left w:val="nil"/>
              <w:bottom w:val="single" w:color="auto" w:sz="4" w:space="0"/>
              <w:right w:val="single" w:color="auto" w:sz="4" w:space="0"/>
            </w:tcBorders>
            <w:noWrap/>
            <w:vAlign w:val="center"/>
          </w:tcPr>
          <w:p>
            <w:pPr>
              <w:widowControl/>
              <w:spacing w:line="300" w:lineRule="exact"/>
              <w:jc w:val="center"/>
              <w:rPr>
                <w:rFonts w:ascii="宋体" w:hAnsi="宋体" w:eastAsia="宋体" w:cs="宋体"/>
                <w:color w:val="000000"/>
                <w:kern w:val="0"/>
                <w:szCs w:val="21"/>
              </w:rPr>
            </w:pPr>
          </w:p>
        </w:tc>
        <w:tc>
          <w:tcPr>
            <w:tcW w:w="4355"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c>
          <w:tcPr>
            <w:tcW w:w="1868"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r>
      <w:tr>
        <w:tblPrEx>
          <w:tblCellMar>
            <w:top w:w="0" w:type="dxa"/>
            <w:left w:w="108" w:type="dxa"/>
            <w:bottom w:w="0" w:type="dxa"/>
            <w:right w:w="108" w:type="dxa"/>
          </w:tblCellMar>
        </w:tblPrEx>
        <w:trPr>
          <w:trHeight w:val="972" w:hRule="exact"/>
        </w:trPr>
        <w:tc>
          <w:tcPr>
            <w:tcW w:w="1209" w:type="dxa"/>
            <w:tcBorders>
              <w:top w:val="nil"/>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2</w:t>
            </w:r>
          </w:p>
        </w:tc>
        <w:tc>
          <w:tcPr>
            <w:tcW w:w="2662"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第二季度</w:t>
            </w:r>
          </w:p>
        </w:tc>
        <w:tc>
          <w:tcPr>
            <w:tcW w:w="4544" w:type="dxa"/>
            <w:tcBorders>
              <w:top w:val="nil"/>
              <w:left w:val="nil"/>
              <w:bottom w:val="single" w:color="auto" w:sz="4" w:space="0"/>
              <w:right w:val="single" w:color="auto" w:sz="4" w:space="0"/>
            </w:tcBorders>
            <w:noWrap/>
            <w:vAlign w:val="center"/>
          </w:tcPr>
          <w:p>
            <w:pPr>
              <w:widowControl/>
              <w:spacing w:line="300" w:lineRule="exact"/>
              <w:jc w:val="center"/>
              <w:rPr>
                <w:rFonts w:ascii="宋体" w:hAnsi="宋体" w:eastAsia="宋体" w:cs="宋体"/>
                <w:color w:val="000000"/>
                <w:kern w:val="0"/>
                <w:szCs w:val="21"/>
              </w:rPr>
            </w:pPr>
          </w:p>
        </w:tc>
        <w:tc>
          <w:tcPr>
            <w:tcW w:w="4355"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c>
          <w:tcPr>
            <w:tcW w:w="1868" w:type="dxa"/>
            <w:tcBorders>
              <w:top w:val="nil"/>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r>
      <w:tr>
        <w:tblPrEx>
          <w:tblCellMar>
            <w:top w:w="0" w:type="dxa"/>
            <w:left w:w="108" w:type="dxa"/>
            <w:bottom w:w="0" w:type="dxa"/>
            <w:right w:w="108" w:type="dxa"/>
          </w:tblCellMar>
        </w:tblPrEx>
        <w:trPr>
          <w:trHeight w:val="958" w:hRule="exact"/>
        </w:trPr>
        <w:tc>
          <w:tcPr>
            <w:tcW w:w="120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3</w:t>
            </w:r>
          </w:p>
        </w:tc>
        <w:tc>
          <w:tcPr>
            <w:tcW w:w="2662"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第三季度</w:t>
            </w:r>
          </w:p>
        </w:tc>
        <w:tc>
          <w:tcPr>
            <w:tcW w:w="4544"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eastAsia="宋体" w:cs="宋体"/>
                <w:color w:val="000000"/>
                <w:kern w:val="0"/>
                <w:szCs w:val="21"/>
              </w:rPr>
            </w:pPr>
          </w:p>
        </w:tc>
        <w:tc>
          <w:tcPr>
            <w:tcW w:w="4355"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c>
          <w:tcPr>
            <w:tcW w:w="1868"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r>
      <w:tr>
        <w:tblPrEx>
          <w:tblCellMar>
            <w:top w:w="0" w:type="dxa"/>
            <w:left w:w="108" w:type="dxa"/>
            <w:bottom w:w="0" w:type="dxa"/>
            <w:right w:w="108" w:type="dxa"/>
          </w:tblCellMar>
        </w:tblPrEx>
        <w:trPr>
          <w:trHeight w:val="1091" w:hRule="exact"/>
        </w:trPr>
        <w:tc>
          <w:tcPr>
            <w:tcW w:w="120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4</w:t>
            </w:r>
          </w:p>
        </w:tc>
        <w:tc>
          <w:tcPr>
            <w:tcW w:w="2662"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r>
              <w:rPr>
                <w:rFonts w:hint="eastAsia" w:ascii="宋体" w:hAnsi="宋体" w:eastAsia="宋体" w:cs="宋体"/>
                <w:color w:val="000000"/>
                <w:kern w:val="0"/>
                <w:sz w:val="24"/>
              </w:rPr>
              <w:t>第四季度</w:t>
            </w:r>
          </w:p>
        </w:tc>
        <w:tc>
          <w:tcPr>
            <w:tcW w:w="4544"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eastAsia="宋体" w:cs="宋体"/>
                <w:color w:val="000000"/>
                <w:kern w:val="0"/>
                <w:szCs w:val="21"/>
              </w:rPr>
            </w:pPr>
          </w:p>
        </w:tc>
        <w:tc>
          <w:tcPr>
            <w:tcW w:w="4355"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c>
          <w:tcPr>
            <w:tcW w:w="1868" w:type="dxa"/>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宋体" w:hAnsi="宋体" w:eastAsia="宋体" w:cs="宋体"/>
                <w:color w:val="000000"/>
                <w:kern w:val="0"/>
                <w:sz w:val="24"/>
              </w:rPr>
            </w:pPr>
          </w:p>
        </w:tc>
      </w:tr>
    </w:tbl>
    <w:p>
      <w:pPr>
        <w:widowControl/>
        <w:jc w:val="left"/>
        <w:rPr>
          <w:rFonts w:ascii="仿宋" w:hAnsi="仿宋" w:eastAsia="仿宋" w:cs="仿宋"/>
          <w:kern w:val="0"/>
          <w:sz w:val="28"/>
          <w:szCs w:val="28"/>
          <w:u w:val="single"/>
        </w:rPr>
      </w:pPr>
      <w:r>
        <w:rPr>
          <w:rFonts w:hint="eastAsia" w:ascii="仿宋" w:hAnsi="仿宋" w:eastAsia="仿宋" w:cs="仿宋"/>
          <w:kern w:val="0"/>
          <w:sz w:val="28"/>
          <w:szCs w:val="28"/>
        </w:rPr>
        <w:t>遍访人姓名及职务：</w:t>
      </w:r>
    </w:p>
    <w:p>
      <w:pPr>
        <w:widowControl/>
        <w:spacing w:line="400" w:lineRule="exact"/>
        <w:jc w:val="left"/>
        <w:rPr>
          <w:rFonts w:ascii="Times New Roman" w:hAnsi="Times New Roman"/>
          <w:szCs w:val="32"/>
        </w:rPr>
      </w:pPr>
      <w:r>
        <w:rPr>
          <w:rFonts w:hint="eastAsia" w:eastAsia="仿宋_GB2312" w:cs="宋体"/>
          <w:kern w:val="0"/>
          <w:sz w:val="24"/>
        </w:rPr>
        <w:t>备注：县级领导遍访台账报送到县扶贫办404室，联系人：刘春亮，联系电话：64229480；乡镇（区）、村两级领导遍访台账由乡镇（区）扶贫办收集留存。</w:t>
      </w:r>
      <w:r>
        <w:rPr>
          <w:rFonts w:ascii="Times New Roman" w:hAnsi="Times New Roman"/>
          <w:sz w:val="20"/>
          <w:szCs w:val="32"/>
        </w:rPr>
        <mc:AlternateContent>
          <mc:Choice Requires="wps">
            <w:drawing>
              <wp:anchor distT="0" distB="0" distL="114300" distR="114300" simplePos="0" relativeHeight="1024" behindDoc="0" locked="0" layoutInCell="1" allowOverlap="1">
                <wp:simplePos x="0" y="0"/>
                <wp:positionH relativeFrom="column">
                  <wp:align>center</wp:align>
                </wp:positionH>
                <wp:positionV relativeFrom="margin">
                  <wp:align>bottom</wp:align>
                </wp:positionV>
                <wp:extent cx="5615940" cy="909955"/>
                <wp:effectExtent l="0" t="0" r="0" b="0"/>
                <wp:wrapNone/>
                <wp:docPr id="4" name="文本框 17"/>
                <wp:cNvGraphicFramePr/>
                <a:graphic xmlns:a="http://schemas.openxmlformats.org/drawingml/2006/main">
                  <a:graphicData uri="http://schemas.microsoft.com/office/word/2010/wordprocessingShape">
                    <wps:wsp>
                      <wps:cNvSpPr txBox="1"/>
                      <wps:spPr>
                        <a:xfrm>
                          <a:off x="0" y="0"/>
                          <a:ext cx="5615940" cy="909955"/>
                        </a:xfrm>
                        <a:prstGeom prst="rect">
                          <a:avLst/>
                        </a:prstGeom>
                        <a:noFill/>
                        <a:ln>
                          <a:noFill/>
                        </a:ln>
                      </wps:spPr>
                      <wps:txbx>
                        <w:txbxContent>
                          <w:p>
                            <w:pPr>
                              <w:spacing w:line="0" w:lineRule="atLeast"/>
                              <w:rPr>
                                <w:rFonts w:ascii="Times New Roman" w:hAnsi="Times New Roman" w:eastAsia="宋体"/>
                                <w:sz w:val="2"/>
                                <w:szCs w:val="2"/>
                              </w:rPr>
                            </w:pPr>
                            <w:bookmarkStart w:id="0" w:name="gongkai"/>
                            <w:r>
                              <w:rPr>
                                <w:rFonts w:ascii="Times New Roman" w:hAnsi="Times New Roman" w:eastAsia="宋体"/>
                                <w:sz w:val="2"/>
                                <w:szCs w:val="2"/>
                              </w:rPr>
                              <w:t xml:space="preserve"> </w:t>
                            </w:r>
                            <w:bookmarkEnd w:id="0"/>
                          </w:p>
                          <w:p>
                            <w:pPr>
                              <w:spacing w:line="0" w:lineRule="atLeast"/>
                              <w:rPr>
                                <w:rFonts w:ascii="Times New Roman" w:hAnsi="Times New Roman" w:eastAsia="宋体"/>
                                <w:sz w:val="2"/>
                                <w:szCs w:val="2"/>
                              </w:rPr>
                            </w:pPr>
                          </w:p>
                        </w:txbxContent>
                      </wps:txbx>
                      <wps:bodyPr lIns="0" tIns="0" rIns="0" bIns="90000" upright="1">
                        <a:spAutoFit/>
                      </wps:bodyPr>
                    </wps:wsp>
                  </a:graphicData>
                </a:graphic>
              </wp:anchor>
            </w:drawing>
          </mc:Choice>
          <mc:Fallback>
            <w:pict>
              <v:shape id="文本框 17" o:spid="_x0000_s1026" o:spt="202" type="#_x0000_t202" style="position:absolute;left:0pt;height:71.65pt;width:442.2pt;mso-position-horizontal:center;mso-position-vertical:bottom;mso-position-vertical-relative:margin;z-index:1024;mso-width-relative:page;mso-height-relative:page;" filled="f" stroked="f" coordsize="21600,21600" o:gfxdata="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pdoDNUA&#10;AAAFAQAADwAAAAAAAAABACAAAAAiAAAAZHJzL2Rvd25yZXYueG1sUEsBAhQAFAAAAAgAh07iQO2z&#10;rnqwAQAAQwMAAA4AAAAAAAAAAQAgAAAAJAEAAGRycy9lMm9Eb2MueG1sUEsFBgAAAAAGAAYAWQEA&#10;AEYFAAAAAA==&#10;">
                <v:fill on="f" focussize="0,0"/>
                <v:stroke on="f"/>
                <v:imagedata o:title=""/>
                <o:lock v:ext="edit" aspectratio="f"/>
                <v:textbox inset="0mm,0mm,0mm,2.5mm" style="mso-fit-shape-to-text:t;">
                  <w:txbxContent>
                    <w:p>
                      <w:pPr>
                        <w:spacing w:line="0" w:lineRule="atLeast"/>
                        <w:rPr>
                          <w:rFonts w:ascii="Times New Roman" w:hAnsi="Times New Roman" w:eastAsia="宋体"/>
                          <w:sz w:val="2"/>
                          <w:szCs w:val="2"/>
                        </w:rPr>
                      </w:pPr>
                      <w:bookmarkStart w:id="0" w:name="gongkai"/>
                      <w:r>
                        <w:rPr>
                          <w:rFonts w:ascii="Times New Roman" w:hAnsi="Times New Roman" w:eastAsia="宋体"/>
                          <w:sz w:val="2"/>
                          <w:szCs w:val="2"/>
                        </w:rPr>
                        <w:t xml:space="preserve"> </w:t>
                      </w:r>
                      <w:bookmarkEnd w:id="0"/>
                    </w:p>
                    <w:p>
                      <w:pPr>
                        <w:spacing w:line="0" w:lineRule="atLeast"/>
                        <w:rPr>
                          <w:rFonts w:ascii="Times New Roman" w:hAnsi="Times New Roman" w:eastAsia="宋体"/>
                          <w:sz w:val="2"/>
                          <w:szCs w:val="2"/>
                        </w:rPr>
                      </w:pPr>
                    </w:p>
                  </w:txbxContent>
                </v:textbox>
              </v:shape>
            </w:pict>
          </mc:Fallback>
        </mc:AlternateContent>
      </w:r>
    </w:p>
    <w:sectPr>
      <w:headerReference r:id="rId3" w:type="default"/>
      <w:footerReference r:id="rId4" w:type="default"/>
      <w:footerReference r:id="rId5" w:type="even"/>
      <w:pgSz w:w="16838" w:h="11906" w:orient="landscape"/>
      <w:pgMar w:top="1588" w:right="1928" w:bottom="1474" w:left="1814" w:header="851" w:footer="1542" w:gutter="0"/>
      <w:cols w:space="425" w:num="1"/>
      <w:docGrid w:type="linesAndChars" w:linePitch="595"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小标宋">
    <w:altName w:val="微软雅黑"/>
    <w:panose1 w:val="00000000000000000000"/>
    <w:charset w:val="86"/>
    <w:family w:val="script"/>
    <w:pitch w:val="default"/>
    <w:sig w:usb0="00000000" w:usb1="00000000" w:usb2="00000010" w:usb3="00000000" w:csb0="00040000" w:csb1="00000000"/>
  </w:font>
  <w:font w:name="方正仿宋简体">
    <w:panose1 w:val="02010601030101010101"/>
    <w:charset w:val="86"/>
    <w:family w:val="script"/>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183C3C"/>
    <w:multiLevelType w:val="singleLevel"/>
    <w:tmpl w:val="7E183C3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58"/>
  <w:drawingGridVerticalSpacing w:val="595"/>
  <w:displayHorizontalDrawingGridEvery w:val="0"/>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1B4"/>
    <w:rsid w:val="000169A0"/>
    <w:rsid w:val="00024431"/>
    <w:rsid w:val="00057B07"/>
    <w:rsid w:val="00062C07"/>
    <w:rsid w:val="000811F5"/>
    <w:rsid w:val="00095A31"/>
    <w:rsid w:val="000B4430"/>
    <w:rsid w:val="000C4D3D"/>
    <w:rsid w:val="000E5B6E"/>
    <w:rsid w:val="00103867"/>
    <w:rsid w:val="00106E10"/>
    <w:rsid w:val="00106FB6"/>
    <w:rsid w:val="00114A7F"/>
    <w:rsid w:val="001379FE"/>
    <w:rsid w:val="00142BA2"/>
    <w:rsid w:val="00153D1A"/>
    <w:rsid w:val="001665F5"/>
    <w:rsid w:val="001772F3"/>
    <w:rsid w:val="0019493D"/>
    <w:rsid w:val="001C08C6"/>
    <w:rsid w:val="001C0AF5"/>
    <w:rsid w:val="001E289F"/>
    <w:rsid w:val="001E313A"/>
    <w:rsid w:val="0020568D"/>
    <w:rsid w:val="00213774"/>
    <w:rsid w:val="0022257C"/>
    <w:rsid w:val="002532EB"/>
    <w:rsid w:val="00283178"/>
    <w:rsid w:val="00291721"/>
    <w:rsid w:val="002C4A49"/>
    <w:rsid w:val="002D6524"/>
    <w:rsid w:val="00307089"/>
    <w:rsid w:val="00341806"/>
    <w:rsid w:val="00345B67"/>
    <w:rsid w:val="0036046B"/>
    <w:rsid w:val="003A2189"/>
    <w:rsid w:val="003A28B2"/>
    <w:rsid w:val="003C08E9"/>
    <w:rsid w:val="003C485B"/>
    <w:rsid w:val="003D6247"/>
    <w:rsid w:val="003D6445"/>
    <w:rsid w:val="003E5E3B"/>
    <w:rsid w:val="003F76C4"/>
    <w:rsid w:val="00403BC0"/>
    <w:rsid w:val="00411B8B"/>
    <w:rsid w:val="00413902"/>
    <w:rsid w:val="004301FD"/>
    <w:rsid w:val="00473C15"/>
    <w:rsid w:val="00476A55"/>
    <w:rsid w:val="00477B88"/>
    <w:rsid w:val="00481B9B"/>
    <w:rsid w:val="004A0018"/>
    <w:rsid w:val="004B662E"/>
    <w:rsid w:val="004B7B88"/>
    <w:rsid w:val="004C16E6"/>
    <w:rsid w:val="004C2140"/>
    <w:rsid w:val="004C2436"/>
    <w:rsid w:val="004D0BAD"/>
    <w:rsid w:val="004F5424"/>
    <w:rsid w:val="005051DF"/>
    <w:rsid w:val="005141F0"/>
    <w:rsid w:val="0054409C"/>
    <w:rsid w:val="0056404F"/>
    <w:rsid w:val="005B0EF3"/>
    <w:rsid w:val="005F53B2"/>
    <w:rsid w:val="005F7731"/>
    <w:rsid w:val="0067018E"/>
    <w:rsid w:val="006938DB"/>
    <w:rsid w:val="006956FD"/>
    <w:rsid w:val="006A1FE8"/>
    <w:rsid w:val="006B51AB"/>
    <w:rsid w:val="006B5535"/>
    <w:rsid w:val="006E325F"/>
    <w:rsid w:val="00720828"/>
    <w:rsid w:val="0074405E"/>
    <w:rsid w:val="00746606"/>
    <w:rsid w:val="007635BF"/>
    <w:rsid w:val="00796F6A"/>
    <w:rsid w:val="007A0FEC"/>
    <w:rsid w:val="007C7F58"/>
    <w:rsid w:val="007E1492"/>
    <w:rsid w:val="007F781D"/>
    <w:rsid w:val="00845F5A"/>
    <w:rsid w:val="008471B4"/>
    <w:rsid w:val="00865168"/>
    <w:rsid w:val="008676E9"/>
    <w:rsid w:val="008A1DAB"/>
    <w:rsid w:val="008A2CEE"/>
    <w:rsid w:val="008D17CA"/>
    <w:rsid w:val="008E5A99"/>
    <w:rsid w:val="008F0552"/>
    <w:rsid w:val="008F0D49"/>
    <w:rsid w:val="008F5124"/>
    <w:rsid w:val="0092195E"/>
    <w:rsid w:val="00946383"/>
    <w:rsid w:val="0094799A"/>
    <w:rsid w:val="0097791D"/>
    <w:rsid w:val="00984CEB"/>
    <w:rsid w:val="009E07ED"/>
    <w:rsid w:val="00A3468F"/>
    <w:rsid w:val="00A51890"/>
    <w:rsid w:val="00A53183"/>
    <w:rsid w:val="00A55D19"/>
    <w:rsid w:val="00A842BD"/>
    <w:rsid w:val="00A90335"/>
    <w:rsid w:val="00A978E4"/>
    <w:rsid w:val="00AA3962"/>
    <w:rsid w:val="00AB3D14"/>
    <w:rsid w:val="00AF4FF6"/>
    <w:rsid w:val="00B32032"/>
    <w:rsid w:val="00B5680E"/>
    <w:rsid w:val="00B81943"/>
    <w:rsid w:val="00B861FD"/>
    <w:rsid w:val="00BB2ABC"/>
    <w:rsid w:val="00C12F1A"/>
    <w:rsid w:val="00C132BC"/>
    <w:rsid w:val="00C15BD8"/>
    <w:rsid w:val="00C7192A"/>
    <w:rsid w:val="00C80F63"/>
    <w:rsid w:val="00C973ED"/>
    <w:rsid w:val="00CD1DEB"/>
    <w:rsid w:val="00CE4732"/>
    <w:rsid w:val="00CF4296"/>
    <w:rsid w:val="00CF74ED"/>
    <w:rsid w:val="00D16CB7"/>
    <w:rsid w:val="00D24E37"/>
    <w:rsid w:val="00D33985"/>
    <w:rsid w:val="00D3434A"/>
    <w:rsid w:val="00D64F6B"/>
    <w:rsid w:val="00D73151"/>
    <w:rsid w:val="00DB26A4"/>
    <w:rsid w:val="00DC22DC"/>
    <w:rsid w:val="00DC5E34"/>
    <w:rsid w:val="00DE3E36"/>
    <w:rsid w:val="00E24B91"/>
    <w:rsid w:val="00E4313B"/>
    <w:rsid w:val="00E529DC"/>
    <w:rsid w:val="00E569A4"/>
    <w:rsid w:val="00EB0534"/>
    <w:rsid w:val="00EB20B2"/>
    <w:rsid w:val="00EB43B8"/>
    <w:rsid w:val="00F365D5"/>
    <w:rsid w:val="00F4346F"/>
    <w:rsid w:val="00F66F37"/>
    <w:rsid w:val="00F81B5D"/>
    <w:rsid w:val="00FA720E"/>
    <w:rsid w:val="00FB0B32"/>
    <w:rsid w:val="00FE6B72"/>
    <w:rsid w:val="00FF0236"/>
    <w:rsid w:val="00FF2607"/>
    <w:rsid w:val="047F6591"/>
    <w:rsid w:val="08675B22"/>
    <w:rsid w:val="10611D16"/>
    <w:rsid w:val="14E9747F"/>
    <w:rsid w:val="181D652A"/>
    <w:rsid w:val="1B4C5B72"/>
    <w:rsid w:val="221811D5"/>
    <w:rsid w:val="222960C4"/>
    <w:rsid w:val="22834872"/>
    <w:rsid w:val="26035B99"/>
    <w:rsid w:val="26884430"/>
    <w:rsid w:val="275B7223"/>
    <w:rsid w:val="28CF3463"/>
    <w:rsid w:val="337B5A42"/>
    <w:rsid w:val="352B709B"/>
    <w:rsid w:val="393E4E10"/>
    <w:rsid w:val="3DC94B10"/>
    <w:rsid w:val="46D40513"/>
    <w:rsid w:val="47E63AD3"/>
    <w:rsid w:val="49C5006E"/>
    <w:rsid w:val="4D804AFA"/>
    <w:rsid w:val="4D851138"/>
    <w:rsid w:val="54A07D15"/>
    <w:rsid w:val="55796430"/>
    <w:rsid w:val="56E43A25"/>
    <w:rsid w:val="5BE07EB5"/>
    <w:rsid w:val="615D0844"/>
    <w:rsid w:val="61AD6B07"/>
    <w:rsid w:val="63BD01A0"/>
    <w:rsid w:val="656D6402"/>
    <w:rsid w:val="68EA5225"/>
    <w:rsid w:val="6B454F52"/>
    <w:rsid w:val="6E97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仿宋" w:cs="Times New Roman"/>
      <w:kern w:val="2"/>
      <w:sz w:val="32"/>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qFormat/>
    <w:uiPriority w:val="0"/>
    <w:pPr>
      <w:spacing w:line="0" w:lineRule="atLeast"/>
    </w:pPr>
    <w:rPr>
      <w:rFonts w:eastAsia="小标宋"/>
      <w:sz w:val="44"/>
      <w:szCs w:val="32"/>
    </w:rPr>
  </w:style>
  <w:style w:type="paragraph" w:styleId="3">
    <w:name w:val="footer"/>
    <w:basedOn w:val="1"/>
    <w:link w:val="11"/>
    <w:unhideWhenUsed/>
    <w:qFormat/>
    <w:uiPriority w:val="0"/>
    <w:pPr>
      <w:tabs>
        <w:tab w:val="center" w:pos="4153"/>
        <w:tab w:val="right" w:pos="8306"/>
      </w:tabs>
      <w:snapToGrid w:val="0"/>
      <w:jc w:val="left"/>
    </w:pPr>
    <w:rPr>
      <w:sz w:val="18"/>
      <w:szCs w:val="18"/>
    </w:rPr>
  </w:style>
  <w:style w:type="paragraph" w:styleId="4">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Title"/>
    <w:basedOn w:val="1"/>
    <w:next w:val="1"/>
    <w:qFormat/>
    <w:uiPriority w:val="0"/>
    <w:pPr>
      <w:spacing w:before="240" w:after="60"/>
      <w:jc w:val="center"/>
      <w:outlineLvl w:val="0"/>
    </w:pPr>
    <w:rPr>
      <w:rFonts w:eastAsia="宋体" w:asciiTheme="majorHAnsi" w:hAnsiTheme="majorHAnsi" w:cstheme="majorBidi"/>
      <w:b/>
      <w:bCs/>
      <w:sz w:val="32"/>
      <w:szCs w:val="32"/>
    </w:rPr>
  </w:style>
  <w:style w:type="table" w:styleId="7">
    <w:name w:val="Table Grid"/>
    <w:basedOn w:val="6"/>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眉 字符"/>
    <w:link w:val="4"/>
    <w:semiHidden/>
    <w:qFormat/>
    <w:uiPriority w:val="99"/>
    <w:rPr>
      <w:rFonts w:ascii="宋体" w:hAnsi="宋体" w:eastAsia="方正仿宋简体"/>
      <w:sz w:val="18"/>
      <w:szCs w:val="18"/>
    </w:rPr>
  </w:style>
  <w:style w:type="character" w:customStyle="1" w:styleId="11">
    <w:name w:val="页脚 字符"/>
    <w:link w:val="3"/>
    <w:qFormat/>
    <w:uiPriority w:val="99"/>
    <w:rPr>
      <w:rFonts w:ascii="宋体" w:hAnsi="宋体" w:eastAsia="方正仿宋简体"/>
      <w:sz w:val="18"/>
      <w:szCs w:val="18"/>
    </w:rPr>
  </w:style>
  <w:style w:type="character" w:customStyle="1" w:styleId="12">
    <w:name w:val="正文文本 字符"/>
    <w:link w:val="2"/>
    <w:qFormat/>
    <w:uiPriority w:val="0"/>
    <w:rPr>
      <w:rFonts w:ascii="宋体" w:hAnsi="宋体" w:eastAsia="小标宋" w:cs="Times New Roman"/>
      <w:sz w:val="44"/>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38C5F8-A15E-4D55-B0A8-7DFD71DBFE08}">
  <ds:schemaRefs/>
</ds:datastoreItem>
</file>

<file path=docProps/app.xml><?xml version="1.0" encoding="utf-8"?>
<Properties xmlns="http://schemas.openxmlformats.org/officeDocument/2006/extended-properties" xmlns:vt="http://schemas.openxmlformats.org/officeDocument/2006/docPropsVTypes">
  <Template>Normal</Template>
  <Pages>4</Pages>
  <Words>251</Words>
  <Characters>1437</Characters>
  <Lines>11</Lines>
  <Paragraphs>3</Paragraphs>
  <TotalTime>5</TotalTime>
  <ScaleCrop>false</ScaleCrop>
  <LinksUpToDate>false</LinksUpToDate>
  <CharactersWithSpaces>1685</CharactersWithSpaces>
  <Application>WPS Office_11.1.0.9341_F1E327BC-269C-435d-A152-05C5408002CA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2019-04-25T05:22:00Z</dcterms:created>
  <dc:creator>Colops Leung</dc:creator>
  <cp:lastModifiedBy>Administrator</cp:lastModifiedBy>
  <cp:lastPrinted>2019-11-11T04:18:00Z</cp:lastPrinted>
  <dcterms:modified xsi:type="dcterms:W3CDTF">2020-03-31T06:13:35Z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2052-11.1.0.9341</vt:lpwstr>
  </property>
</Properties>
</file>